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FE" w:rsidRDefault="00AD26FE" w:rsidP="005F54DE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AD26FE" w:rsidRDefault="00AD26FE" w:rsidP="005F54DE">
      <w:pPr>
        <w:pStyle w:val="ae"/>
        <w:jc w:val="right"/>
        <w:rPr>
          <w:sz w:val="28"/>
          <w:szCs w:val="28"/>
        </w:rPr>
      </w:pPr>
      <w:bookmarkStart w:id="0" w:name="_GoBack"/>
      <w:bookmarkEnd w:id="0"/>
    </w:p>
    <w:p w:rsidR="005F54DE" w:rsidRPr="00B03823" w:rsidRDefault="005F54DE" w:rsidP="005F54DE">
      <w:pPr>
        <w:pStyle w:val="ae"/>
        <w:jc w:val="right"/>
        <w:rPr>
          <w:sz w:val="28"/>
          <w:szCs w:val="28"/>
        </w:rPr>
      </w:pPr>
      <w:r w:rsidRPr="00B03823">
        <w:rPr>
          <w:sz w:val="28"/>
          <w:szCs w:val="28"/>
        </w:rPr>
        <w:t>Додаток 4</w:t>
      </w:r>
    </w:p>
    <w:p w:rsidR="005F54DE" w:rsidRPr="00B03823" w:rsidRDefault="005F54DE" w:rsidP="005F54DE">
      <w:pPr>
        <w:pStyle w:val="ae"/>
        <w:jc w:val="right"/>
        <w:rPr>
          <w:sz w:val="28"/>
          <w:szCs w:val="28"/>
        </w:rPr>
      </w:pPr>
      <w:r w:rsidRPr="00B03823">
        <w:rPr>
          <w:sz w:val="28"/>
          <w:szCs w:val="28"/>
        </w:rPr>
        <w:t>до Антикорупційної програми</w:t>
      </w:r>
    </w:p>
    <w:p w:rsidR="005F54DE" w:rsidRPr="00B03823" w:rsidRDefault="005F54DE" w:rsidP="005F54DE">
      <w:pPr>
        <w:pStyle w:val="ae"/>
        <w:jc w:val="right"/>
        <w:rPr>
          <w:sz w:val="28"/>
          <w:szCs w:val="28"/>
        </w:rPr>
      </w:pPr>
      <w:r w:rsidRPr="00B03823">
        <w:rPr>
          <w:sz w:val="28"/>
          <w:szCs w:val="28"/>
        </w:rPr>
        <w:t xml:space="preserve">Міністерства </w:t>
      </w:r>
      <w:r>
        <w:rPr>
          <w:sz w:val="28"/>
          <w:szCs w:val="28"/>
        </w:rPr>
        <w:t>з питань стратегічних галузей промисловості</w:t>
      </w:r>
      <w:r w:rsidRPr="00B03823">
        <w:rPr>
          <w:sz w:val="28"/>
          <w:szCs w:val="28"/>
        </w:rPr>
        <w:t xml:space="preserve"> України</w:t>
      </w:r>
    </w:p>
    <w:p w:rsidR="005F54DE" w:rsidRPr="00B03823" w:rsidRDefault="005F54DE" w:rsidP="005F54DE">
      <w:pPr>
        <w:pStyle w:val="ae"/>
        <w:jc w:val="right"/>
        <w:rPr>
          <w:sz w:val="28"/>
          <w:szCs w:val="28"/>
        </w:rPr>
      </w:pPr>
      <w:r w:rsidRPr="00B03823">
        <w:rPr>
          <w:sz w:val="28"/>
          <w:szCs w:val="28"/>
        </w:rPr>
        <w:t>на 2023–202</w:t>
      </w:r>
      <w:r>
        <w:rPr>
          <w:sz w:val="28"/>
          <w:szCs w:val="28"/>
        </w:rPr>
        <w:t>4</w:t>
      </w:r>
      <w:r w:rsidRPr="00B03823">
        <w:rPr>
          <w:sz w:val="28"/>
          <w:szCs w:val="28"/>
        </w:rPr>
        <w:t xml:space="preserve"> роки</w:t>
      </w:r>
    </w:p>
    <w:p w:rsidR="005F54DE" w:rsidRPr="00B03823" w:rsidRDefault="005F54DE" w:rsidP="005F54DE">
      <w:pPr>
        <w:pStyle w:val="ae"/>
        <w:jc w:val="right"/>
        <w:rPr>
          <w:sz w:val="28"/>
          <w:szCs w:val="28"/>
        </w:rPr>
      </w:pPr>
    </w:p>
    <w:p w:rsidR="005F54DE" w:rsidRPr="00B03823" w:rsidRDefault="005F54DE" w:rsidP="005F54DE">
      <w:pPr>
        <w:pStyle w:val="ae"/>
        <w:jc w:val="right"/>
        <w:rPr>
          <w:sz w:val="28"/>
          <w:szCs w:val="28"/>
        </w:rPr>
      </w:pPr>
    </w:p>
    <w:p w:rsidR="005F54DE" w:rsidRDefault="005F54DE" w:rsidP="005F54DE">
      <w:pPr>
        <w:pStyle w:val="ae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>Заходи</w:t>
      </w:r>
      <w:r>
        <w:rPr>
          <w:b/>
          <w:sz w:val="28"/>
          <w:szCs w:val="28"/>
        </w:rPr>
        <w:t xml:space="preserve">, виконавцем яких визначено Міністерство з питань стратегічних галузей промисловості України, </w:t>
      </w:r>
    </w:p>
    <w:p w:rsidR="005F54DE" w:rsidRPr="00B03823" w:rsidRDefault="005F54DE" w:rsidP="005F54DE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метою реалізації </w:t>
      </w:r>
      <w:r w:rsidRPr="00B03823">
        <w:rPr>
          <w:b/>
          <w:sz w:val="28"/>
          <w:szCs w:val="28"/>
        </w:rPr>
        <w:t xml:space="preserve">Державної антикорупційної програми на 2023–2025 роки, </w:t>
      </w:r>
    </w:p>
    <w:p w:rsidR="005F54DE" w:rsidRPr="00B03823" w:rsidRDefault="005F54DE" w:rsidP="005F54DE">
      <w:pPr>
        <w:pStyle w:val="ae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 xml:space="preserve">затвердженої постановою Кабінету Міністрів України </w:t>
      </w:r>
    </w:p>
    <w:p w:rsidR="005F54DE" w:rsidRPr="00B03823" w:rsidRDefault="005F54DE" w:rsidP="005F54DE">
      <w:pPr>
        <w:pStyle w:val="ae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 xml:space="preserve">від 04 березня 2023 року № 220 </w:t>
      </w:r>
    </w:p>
    <w:p w:rsidR="00C55A0D" w:rsidRPr="004B11F1" w:rsidRDefault="00C55A0D" w:rsidP="00C55A0D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</w:p>
    <w:tbl>
      <w:tblPr>
        <w:tblStyle w:val="a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134"/>
        <w:gridCol w:w="1139"/>
        <w:gridCol w:w="1417"/>
        <w:gridCol w:w="1697"/>
        <w:gridCol w:w="1701"/>
        <w:gridCol w:w="2127"/>
        <w:gridCol w:w="1558"/>
      </w:tblGrid>
      <w:tr w:rsidR="00C55A0D" w:rsidRPr="004B11F1" w:rsidTr="005F54DE">
        <w:trPr>
          <w:trHeight w:val="4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4B11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заходу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Найменування та зміст заходу*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/>
                <w:sz w:val="20"/>
                <w:szCs w:val="20"/>
              </w:rPr>
              <w:t>Строки виконання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/>
                <w:sz w:val="20"/>
                <w:szCs w:val="20"/>
              </w:rPr>
              <w:t>Головний виконавець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/>
                <w:sz w:val="20"/>
                <w:szCs w:val="20"/>
              </w:rPr>
              <w:t>Співвиконавці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(індикатор) виконання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A0D" w:rsidRPr="004B11F1" w:rsidRDefault="00C55A0D" w:rsidP="005F5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Стан виконання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/>
                <w:sz w:val="20"/>
                <w:szCs w:val="20"/>
              </w:rPr>
              <w:t>Статус виконання заходу</w:t>
            </w:r>
          </w:p>
        </w:tc>
      </w:tr>
      <w:tr w:rsidR="00C55A0D" w:rsidRPr="004B11F1" w:rsidTr="005F54DE">
        <w:trPr>
          <w:trHeight w:val="5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/>
                <w:sz w:val="20"/>
                <w:szCs w:val="20"/>
              </w:rPr>
              <w:t>дата початку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завершення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5A0D" w:rsidRPr="004B11F1" w:rsidTr="005F54DE">
        <w:trPr>
          <w:trHeight w:val="5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pStyle w:val="a8"/>
              <w:spacing w:after="0" w:line="240" w:lineRule="auto"/>
              <w:ind w:left="0" w:firstLine="30"/>
              <w:jc w:val="left"/>
              <w:rPr>
                <w:sz w:val="20"/>
                <w:szCs w:val="20"/>
                <w:lang w:val="en-US" w:eastAsia="en-US"/>
              </w:rPr>
            </w:pPr>
            <w:r w:rsidRPr="004B11F1">
              <w:rPr>
                <w:color w:val="212529"/>
                <w:sz w:val="20"/>
                <w:szCs w:val="20"/>
                <w:shd w:val="clear" w:color="auto" w:fill="FFFFFF"/>
              </w:rPr>
              <w:t>2.6.1.2.1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 xml:space="preserve">2.6.1.2.1. Розроблення та подання Кабінетові Міністрів України проекту розпорядження Кабінету Міністрів України про проведення інвентаризації нерухомого майна та земель господарських товариств, державних і казенних підприємств в оборонно-промисловому комплексі: </w:t>
            </w:r>
          </w:p>
          <w:p w:rsidR="00C55A0D" w:rsidRPr="004B11F1" w:rsidRDefault="00C55A0D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 xml:space="preserve">1) для Міноборони, Мінстратегпрому, Мінекономіки, МВС, МОН, ДКА, Державного концерну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>“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Укроборонпром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>”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 xml:space="preserve"> визначено завдання провести реєстрацію речових прав на нерухоме майно і землі господарських товариств, державних і казенних підприємств в оборонно-промисловому комплексі та публічно відзвітувати про результати його виконання; </w:t>
            </w:r>
          </w:p>
          <w:p w:rsidR="00C55A0D" w:rsidRPr="004B11F1" w:rsidRDefault="00C55A0D" w:rsidP="00C55A0D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lastRenderedPageBreak/>
              <w:t>2) для Держгеокадастру визначено завдання оприлюднити інформаційний шар про землі оборони на Публічній кадастровій карті з інформацією про землі господарських товариств, державних і казенних підприємств в оборонно-промисловому комплексі</w:t>
            </w:r>
          </w:p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01.03.2023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>Міністерство оборони України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Міністерство внутрішніх справ України</w:t>
            </w: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Міністерство освіти і науки України</w:t>
            </w: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>Міністерство з питань стратегічних галузей промисловості України</w:t>
            </w:r>
            <w:r w:rsidRPr="004B11F1">
              <w:rPr>
                <w:rFonts w:ascii="Times New Roman" w:hAnsi="Times New Roman" w:cs="Times New Roman"/>
                <w:color w:val="1C9BAF"/>
                <w:sz w:val="20"/>
                <w:szCs w:val="20"/>
              </w:rPr>
              <w:br/>
            </w: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Міністерство економіки України</w:t>
            </w: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Акціонерне товариство «Українська </w:t>
            </w: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оборонна промисловість»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F33335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C55A0D" w:rsidRPr="004B11F1">
              <w:rPr>
                <w:rFonts w:ascii="Times New Roman" w:hAnsi="Times New Roman" w:cs="Times New Roman"/>
                <w:sz w:val="20"/>
                <w:szCs w:val="20"/>
              </w:rPr>
              <w:t>озпорядження КМУ</w:t>
            </w: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 xml:space="preserve"> прийнято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>Забезпечується координація з головним виконавцем заходу щодо р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 xml:space="preserve">озроблення та подання Кабінетові Міністрів України проекту розпорядження Кабінету Міністрів України про проведення інвентаризації нерухомого майна та земель господарських товариств, державних і казенних підприємств в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lastRenderedPageBreak/>
              <w:t>оборонно-промисловому комплексі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E" w:rsidRDefault="005F54DE" w:rsidP="005F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Стадія виконання</w:t>
            </w:r>
          </w:p>
          <w:p w:rsidR="00C55A0D" w:rsidRPr="004B11F1" w:rsidRDefault="00C55A0D" w:rsidP="005F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A0D" w:rsidRPr="004B11F1" w:rsidTr="005F54DE">
        <w:trPr>
          <w:trHeight w:val="5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pStyle w:val="a8"/>
              <w:tabs>
                <w:tab w:val="left" w:pos="-109"/>
              </w:tabs>
              <w:spacing w:after="0" w:line="240" w:lineRule="auto"/>
              <w:ind w:left="-1041" w:right="33" w:firstLine="1063"/>
              <w:jc w:val="left"/>
              <w:rPr>
                <w:sz w:val="20"/>
                <w:szCs w:val="20"/>
                <w:lang w:eastAsia="en-US"/>
              </w:rPr>
            </w:pPr>
            <w:r w:rsidRPr="004B11F1">
              <w:rPr>
                <w:sz w:val="20"/>
                <w:szCs w:val="20"/>
                <w:lang w:val="en-US" w:eastAsia="en-US"/>
              </w:rPr>
              <w:t>2</w:t>
            </w:r>
            <w:r w:rsidRPr="004B11F1">
              <w:rPr>
                <w:sz w:val="20"/>
                <w:szCs w:val="20"/>
                <w:lang w:eastAsia="en-US"/>
              </w:rPr>
              <w:t xml:space="preserve">.6.1.2.2 </w:t>
            </w:r>
          </w:p>
          <w:p w:rsidR="00C55A0D" w:rsidRPr="004B11F1" w:rsidRDefault="00C55A0D" w:rsidP="00C55A0D">
            <w:pPr>
              <w:pStyle w:val="a8"/>
              <w:tabs>
                <w:tab w:val="left" w:pos="-109"/>
              </w:tabs>
              <w:spacing w:after="0" w:line="240" w:lineRule="auto"/>
              <w:ind w:left="-1041" w:right="33" w:firstLine="1063"/>
              <w:jc w:val="left"/>
              <w:rPr>
                <w:sz w:val="20"/>
                <w:szCs w:val="20"/>
                <w:lang w:eastAsia="en-US"/>
              </w:rPr>
            </w:pPr>
            <w:r w:rsidRPr="004B11F1">
              <w:rPr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>Розроблення технічної документації, інвентаризація об’єктів нерухомого майна та виготовлення документації із землеустрою, отримання витягів з державного земельного кадастру на земельні ділянки, реєстрація речових прав на 100 відсотків таких об’єктів нерухомого майна і земельних ділянок господарських товариств, державних і казенних підприємств в оборонно-промисловому комплексі, крім тих, щодо яких існують судові спори (в межах компетенції)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>01.04.2023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Міноборони</w:t>
            </w:r>
          </w:p>
          <w:p w:rsidR="00C55A0D" w:rsidRPr="004B11F1" w:rsidRDefault="00C55A0D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Мінстратегпром</w:t>
            </w:r>
          </w:p>
          <w:p w:rsidR="00C55A0D" w:rsidRPr="004B11F1" w:rsidRDefault="00C55A0D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Мінекономіки</w:t>
            </w:r>
          </w:p>
          <w:p w:rsidR="00C55A0D" w:rsidRPr="004B11F1" w:rsidRDefault="00C55A0D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МВС</w:t>
            </w:r>
          </w:p>
          <w:p w:rsidR="00C55A0D" w:rsidRPr="004B11F1" w:rsidRDefault="00C55A0D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МОН</w:t>
            </w:r>
          </w:p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bidi="uk-UA"/>
              </w:rPr>
              <w:t>Акціонерне товариство «Українська оборонна промисловість»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Міноборони</w:t>
            </w:r>
          </w:p>
          <w:p w:rsidR="00C55A0D" w:rsidRPr="004B11F1" w:rsidRDefault="00C55A0D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Мінстратегпром</w:t>
            </w:r>
          </w:p>
          <w:p w:rsidR="00C55A0D" w:rsidRPr="004B11F1" w:rsidRDefault="00C55A0D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Мінекономіки</w:t>
            </w:r>
          </w:p>
          <w:p w:rsidR="00C55A0D" w:rsidRPr="004B11F1" w:rsidRDefault="00C55A0D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МВС</w:t>
            </w:r>
          </w:p>
          <w:p w:rsidR="00C55A0D" w:rsidRPr="004B11F1" w:rsidRDefault="00C55A0D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МОН</w:t>
            </w:r>
          </w:p>
          <w:p w:rsidR="00C55A0D" w:rsidRPr="004B11F1" w:rsidRDefault="00C55A0D" w:rsidP="00C55A0D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bidi="uk-UA"/>
              </w:rPr>
              <w:t>Акціонерне товариство «Українська оборонна промисловість»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bidi="uk-UA"/>
              </w:rPr>
              <w:t>на 100 відсотків об’єктів нерухомого майна і земельних ділянок оборонно-промислового комплексу здійснено реєстрацію речових прав, крім тих, щодо яких існують судові спори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Завершено комплексне наповнення і формування автоматизованої системи «Юридичні особи». </w:t>
            </w:r>
          </w:p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Здійснюється координація діяльності підприємств, що відносяться до сфери управління Мінстратегпрому, по оформленню земельних ділянок, а саме ДП «НВО «ПХЗ» в стадії завершення оформлення відповідних документів.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E" w:rsidRDefault="005F54DE" w:rsidP="005F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Стадія виконання</w:t>
            </w:r>
          </w:p>
          <w:p w:rsidR="00C55A0D" w:rsidRPr="004B11F1" w:rsidRDefault="00C55A0D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4D2" w:rsidRPr="004B11F1" w:rsidTr="005F5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ED5" w:rsidRPr="004B11F1" w:rsidRDefault="00D67ED5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 xml:space="preserve">2.6.1.4.1. </w:t>
            </w:r>
          </w:p>
          <w:p w:rsidR="00F414D2" w:rsidRPr="004B11F1" w:rsidRDefault="00F414D2" w:rsidP="00C55A0D">
            <w:pPr>
              <w:pStyle w:val="a8"/>
              <w:spacing w:after="0" w:line="240" w:lineRule="auto"/>
              <w:ind w:left="502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D67ED5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 xml:space="preserve">Розроблення та подання Кабінетові Міністрів України проекту розпорядження Кабінету Міністрів України про проведення інвентаризації та оцінки об’єктів інтелектуальної власності суб’єктів господарювання оборонно-промислового комплексу для Міноборони, Мінстратегпрому, Мінекономіки, МВС, МОН, ДКА, Державного концерну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“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>Укроборонпром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”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 xml:space="preserve">, визначено завдання провести інвентаризацію об’єктів права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lastRenderedPageBreak/>
              <w:t>інтелектуальної власності на господарських товариствах, в державних, казенних підприємствах, а також установах і організаціях в оборонно-промисловому комплексі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D67ED5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березень 2023 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D67ED5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>липень 2023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D67ED5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>Міноборони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2" w:rsidRPr="004B11F1" w:rsidRDefault="007038C2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Мінстратегпром</w:t>
            </w:r>
          </w:p>
          <w:p w:rsidR="007038C2" w:rsidRPr="004B11F1" w:rsidRDefault="007038C2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Мінекономіки</w:t>
            </w:r>
          </w:p>
          <w:p w:rsidR="007038C2" w:rsidRPr="004B11F1" w:rsidRDefault="007038C2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МВС</w:t>
            </w:r>
          </w:p>
          <w:p w:rsidR="007038C2" w:rsidRPr="004B11F1" w:rsidRDefault="007038C2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МОН</w:t>
            </w:r>
          </w:p>
          <w:p w:rsidR="007038C2" w:rsidRPr="004B11F1" w:rsidRDefault="007038C2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ДКА</w:t>
            </w:r>
          </w:p>
          <w:p w:rsidR="00F414D2" w:rsidRPr="004B11F1" w:rsidRDefault="007038C2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 xml:space="preserve">Державний концерн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>“</w:t>
            </w:r>
            <w:r w:rsidR="009E2FD9"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Укроборон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пром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>” (за згодою)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F33335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р</w:t>
            </w:r>
            <w:r w:rsidR="007038C2"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озпорядження Кабінету Міністрів України прийнято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9D7AE1" w:rsidP="009D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Мінстратегпром опрацював проєкт розпорядження Кабінету Міністрів України про проведення інвентаризації та оцінки об’єктів інтелектуальної власності суб’єктів господарювання </w:t>
            </w: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оборонно-промислового комплексу, надісланий розробником Міністерством оборони України, та надав свої пропозиції щодо його змісту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5F54DE" w:rsidP="005F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Стадія виконання</w:t>
            </w:r>
          </w:p>
        </w:tc>
      </w:tr>
      <w:tr w:rsidR="00F414D2" w:rsidRPr="004B11F1" w:rsidTr="005F5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390" w:rsidRPr="004B11F1" w:rsidRDefault="00CF0390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 xml:space="preserve">2.6.1.4.2. </w:t>
            </w:r>
          </w:p>
          <w:p w:rsidR="00F414D2" w:rsidRPr="004B11F1" w:rsidRDefault="00F414D2" w:rsidP="00C55A0D">
            <w:pPr>
              <w:pStyle w:val="a8"/>
              <w:spacing w:after="0" w:line="240" w:lineRule="auto"/>
              <w:ind w:left="502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CF0390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Проведення інвентаризації та оцінки об’єктів інтелектуальної власності суб’єктів господарювання оборонно-промислового комплексу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CF0390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липень 2023 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CF0390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липень 2024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CF0390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>Міноборони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0" w:rsidRPr="004B11F1" w:rsidRDefault="00CF0390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Мінстратегпром</w:t>
            </w:r>
          </w:p>
          <w:p w:rsidR="00CF0390" w:rsidRPr="004B11F1" w:rsidRDefault="00CF0390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Мінекономіки</w:t>
            </w:r>
          </w:p>
          <w:p w:rsidR="00CF0390" w:rsidRPr="004B11F1" w:rsidRDefault="00CF0390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МВС</w:t>
            </w:r>
          </w:p>
          <w:p w:rsidR="00CF0390" w:rsidRPr="004B11F1" w:rsidRDefault="00CF0390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МОН</w:t>
            </w:r>
          </w:p>
          <w:p w:rsidR="00CF0390" w:rsidRPr="004B11F1" w:rsidRDefault="00CF0390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ДКА</w:t>
            </w:r>
          </w:p>
          <w:p w:rsidR="00F414D2" w:rsidRPr="004B11F1" w:rsidRDefault="00CF0390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 xml:space="preserve">Державний концерн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>“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Укроборон-пром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>” (за згодою)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CF0390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100 відсотків об’єктів інтелектуальної власності суб’єктів господарювання оборонно-промислового комплексу оцінено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9D7AE1" w:rsidP="005F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 xml:space="preserve">Міністерство оборони України як головний виконавець пункту 2.6.1.4.1 </w:t>
            </w:r>
            <w:r w:rsidR="005F54D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 xml:space="preserve">щодо </w:t>
            </w:r>
            <w:r w:rsidRPr="004B11F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 xml:space="preserve">розроблення та подання Кабінетові Міністрів України проекту розпорядження Кабінету Міністрів України про проведення інвентаризації та оцінки об’єктів інтелектуальної власності суб’єктів господарювання оборонно-промислового комплексу, </w:t>
            </w:r>
            <w:r w:rsidR="005F54D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 xml:space="preserve">розробляє проект </w:t>
            </w:r>
            <w:proofErr w:type="spellStart"/>
            <w:r w:rsidR="005F54D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>акта</w:t>
            </w:r>
            <w:proofErr w:type="spellEnd"/>
            <w:r w:rsidR="005F54D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>. Н</w:t>
            </w:r>
            <w:r w:rsidRPr="004B11F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 xml:space="preserve">а сьогодні не визначені завдання проведення інвентаризації об’єктів права інтелектуальної власності на господарських товариствах, в державних, казенних підприємствах, а також установах і </w:t>
            </w:r>
            <w:r w:rsidRPr="004B11F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lastRenderedPageBreak/>
              <w:t>організаціях в оборонно-промисловому комплексі. Після прийняття акту Кабінетом Міністрів України Мінстратегпром розпочне інвентаризацію та оцінку об’єктів інтелектуальної власності суб’єктів господарювання оборонно-промислового комплексу, які входять до сфери його управління.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5F54DE" w:rsidP="009D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Стадія виконання</w:t>
            </w:r>
          </w:p>
        </w:tc>
      </w:tr>
      <w:tr w:rsidR="00F414D2" w:rsidRPr="004B11F1" w:rsidTr="005F5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390" w:rsidRPr="004B11F1" w:rsidRDefault="00CF0390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 xml:space="preserve">2.6.1.4.3. </w:t>
            </w:r>
          </w:p>
          <w:p w:rsidR="00F414D2" w:rsidRPr="004B11F1" w:rsidRDefault="00F414D2" w:rsidP="00C55A0D">
            <w:pPr>
              <w:pStyle w:val="a8"/>
              <w:spacing w:after="0" w:line="240" w:lineRule="auto"/>
              <w:ind w:left="502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CF0390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>Розроблення та подання Кабінетові Міністрів України проекту розпорядження Кабінету Міністрів України про затвердження політики управління інтелектуальною власністю в оборонно-промисловому комплексі, яким визначено створення єдиної інформаційної бази науково-дослідних і дослідно-конструкторських робіт, результатів інтелектуальної діяльності та технологій військового, спеціального і подвійного призначення, конструкторської документації на продукцію військового призначення у взаємодії із реєстрами конструкторської документації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CF0390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березень 2023 р</w:t>
            </w:r>
            <w:r w:rsidR="00F33335" w:rsidRPr="004B11F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CF0390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липень 2023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CF0390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>Мін</w:t>
            </w:r>
            <w:r w:rsidR="00C0085C" w:rsidRPr="004B11F1">
              <w:rPr>
                <w:rFonts w:ascii="Times New Roman" w:hAnsi="Times New Roman" w:cs="Times New Roman"/>
                <w:sz w:val="20"/>
                <w:szCs w:val="20"/>
              </w:rPr>
              <w:t>оборони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0" w:rsidRPr="004B11F1" w:rsidRDefault="00CF0390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Мінстратегпром</w:t>
            </w:r>
          </w:p>
          <w:p w:rsidR="00CF0390" w:rsidRPr="004B11F1" w:rsidRDefault="00CF0390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Мінекономіки</w:t>
            </w:r>
          </w:p>
          <w:p w:rsidR="00CF0390" w:rsidRPr="004B11F1" w:rsidRDefault="00CF0390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МВС</w:t>
            </w:r>
          </w:p>
          <w:p w:rsidR="00CF0390" w:rsidRPr="004B11F1" w:rsidRDefault="00CF0390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МОН</w:t>
            </w:r>
          </w:p>
          <w:p w:rsidR="00CF0390" w:rsidRPr="004B11F1" w:rsidRDefault="00CF0390" w:rsidP="00C55A0D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ДКА</w:t>
            </w:r>
          </w:p>
          <w:p w:rsidR="00F414D2" w:rsidRPr="004B11F1" w:rsidRDefault="00CF0390" w:rsidP="00C5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 xml:space="preserve">Державний концерн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>“</w:t>
            </w:r>
            <w:r w:rsidR="009E2FD9"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Укроборон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пром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>” (за згодою)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2" w:rsidRPr="004B11F1" w:rsidRDefault="00F33335" w:rsidP="005F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р</w:t>
            </w:r>
            <w:r w:rsidR="00CF0390"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озпорядження Кабінету Міністрів України прийнято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1" w:rsidRPr="004B11F1" w:rsidRDefault="009D7AE1" w:rsidP="009D7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B11F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 xml:space="preserve">У разі надходження від Міністерства оборони України як головного виконавця проєкту </w:t>
            </w:r>
            <w:proofErr w:type="spellStart"/>
            <w:r w:rsidRPr="004B11F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>акта</w:t>
            </w:r>
            <w:proofErr w:type="spellEnd"/>
            <w:r w:rsidRPr="004B11F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>, його буде розглянуто та опрацьовано в установленому законодавством порядку.</w:t>
            </w:r>
          </w:p>
          <w:p w:rsidR="00F414D2" w:rsidRPr="004B11F1" w:rsidRDefault="00F414D2" w:rsidP="009D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1" w:rsidRPr="004B11F1" w:rsidRDefault="005F54DE" w:rsidP="009D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Стадія виконання</w:t>
            </w:r>
          </w:p>
          <w:p w:rsidR="00F414D2" w:rsidRPr="004B11F1" w:rsidRDefault="00F414D2" w:rsidP="009D7A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35" w:rsidRPr="004B11F1" w:rsidTr="005F5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335" w:rsidRPr="004B11F1" w:rsidRDefault="00F33335" w:rsidP="00F33335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2.6.2.4.1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5" w:rsidRPr="004B11F1" w:rsidRDefault="00F33335" w:rsidP="00F33335">
            <w:pPr>
              <w:spacing w:before="60" w:line="228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 xml:space="preserve">Розроблення та подання Кабінетові Міністрів України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проекту постанови Кабінету Міністрів України щодо внесення змін до Порядку створення, функціонування та ведення електронного реєстру учасників відбору та виконавців державних контрактів (договорів),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внесення до нього суб’єктів господарювання, затвердженого постановою Кабінету Міністрів України від 17 березня 2021 р. № 233, який передбачає:</w:t>
            </w:r>
          </w:p>
          <w:p w:rsidR="00F33335" w:rsidRPr="004B11F1" w:rsidRDefault="00F33335" w:rsidP="00F33335">
            <w:pPr>
              <w:spacing w:before="60" w:line="228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1) забезпечення реєстром (а не адміністратором) учасників відбору та виконавців державних контрактів систематизації та здійснення ретроспективного аналізу даних щодо суб’єктів господарювання в оборонних закупівлях відповідно до класифікаційних ознак, визначених частиною другою статті 37 Закону України “Про оборонні закупівлі”;</w:t>
            </w:r>
          </w:p>
          <w:p w:rsidR="00F33335" w:rsidRPr="004B11F1" w:rsidRDefault="00F33335" w:rsidP="00F33335">
            <w:pPr>
              <w:spacing w:before="60" w:line="228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>2) автоматизоване наповнення реєстру;</w:t>
            </w:r>
          </w:p>
          <w:p w:rsidR="00F33335" w:rsidRPr="004B11F1" w:rsidRDefault="00F33335" w:rsidP="00F33335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>3) забезпечення оприлюднення інформації з реєстру, що не містить державної таємниці, онлайн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5" w:rsidRPr="004B11F1" w:rsidRDefault="00F33335" w:rsidP="00F33335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4B11F1">
              <w:rPr>
                <w:bCs/>
                <w:sz w:val="20"/>
                <w:szCs w:val="20"/>
                <w:shd w:val="clear" w:color="auto" w:fill="FFFFFF"/>
              </w:rPr>
              <w:lastRenderedPageBreak/>
              <w:t>січень 2025 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5" w:rsidRPr="004B11F1" w:rsidRDefault="00F33335" w:rsidP="00F33335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4B11F1">
              <w:rPr>
                <w:bCs/>
                <w:sz w:val="20"/>
                <w:szCs w:val="20"/>
                <w:shd w:val="clear" w:color="auto" w:fill="FFFFFF"/>
              </w:rPr>
              <w:t>травень 2025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5" w:rsidRPr="004B11F1" w:rsidRDefault="00F33335" w:rsidP="00F33335">
            <w:pPr>
              <w:spacing w:before="60" w:line="228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Мінстратегпром</w:t>
            </w:r>
          </w:p>
          <w:p w:rsidR="00F33335" w:rsidRPr="004B11F1" w:rsidRDefault="00F33335" w:rsidP="00F33335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5" w:rsidRPr="004B11F1" w:rsidRDefault="00F33335" w:rsidP="00F33335">
            <w:pPr>
              <w:spacing w:before="60" w:line="228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Міноборони</w:t>
            </w:r>
          </w:p>
          <w:p w:rsidR="00F33335" w:rsidRPr="004B11F1" w:rsidRDefault="00F33335" w:rsidP="00F33335">
            <w:pPr>
              <w:spacing w:before="60" w:line="228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  <w:t>Мінекономіки</w:t>
            </w:r>
          </w:p>
          <w:p w:rsidR="00F33335" w:rsidRPr="004B11F1" w:rsidRDefault="00F33335" w:rsidP="00F33335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 xml:space="preserve">Державний концерн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>“</w:t>
            </w:r>
            <w:r w:rsidR="007532B6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Укроборон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пром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>” (за згодою)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5" w:rsidRPr="004B11F1" w:rsidRDefault="00F33335" w:rsidP="00F33335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 xml:space="preserve">постанову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  <w:t xml:space="preserve">Кабінету Міністрів України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прийнято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5" w:rsidRPr="004B11F1" w:rsidRDefault="004B11F1" w:rsidP="00F33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</w:pPr>
            <w:r w:rsidRPr="004B11F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>Не розпочато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5" w:rsidRPr="004B11F1" w:rsidRDefault="004B11F1" w:rsidP="00F3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>Не розпочато</w:t>
            </w:r>
          </w:p>
        </w:tc>
      </w:tr>
      <w:tr w:rsidR="004B11F1" w:rsidRPr="004B11F1" w:rsidTr="005F5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1F1" w:rsidRPr="004B11F1" w:rsidRDefault="004B11F1" w:rsidP="004B11F1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2.6.2.4.2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>Введення в експлуатацію Електронного реєстру учасників відбору та виконавців державних контрактів (договорів), що здійснює функції, передбачені у підпункті 2.6.2.4.1, і, зокрема містить систематизовані дані про суб’єктів господарювання за класифікаційними ознаками та автоматизовано наповнюється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4B11F1">
              <w:rPr>
                <w:bCs/>
                <w:sz w:val="20"/>
                <w:szCs w:val="20"/>
                <w:shd w:val="clear" w:color="auto" w:fill="FFFFFF"/>
              </w:rPr>
              <w:t>Січень 2025 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4B11F1">
              <w:rPr>
                <w:bCs/>
                <w:sz w:val="20"/>
                <w:szCs w:val="20"/>
                <w:shd w:val="clear" w:color="auto" w:fill="FFFFFF"/>
              </w:rPr>
              <w:t>Грудень 2025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 w:eastAsia="uk-UA" w:bidi="uk-UA"/>
              </w:rPr>
              <w:t>Мінстратегпром</w:t>
            </w:r>
          </w:p>
          <w:p w:rsidR="004B11F1" w:rsidRPr="004B11F1" w:rsidRDefault="004B11F1" w:rsidP="004B11F1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 w:eastAsia="uk-UA" w:bidi="uk-UA"/>
              </w:rPr>
              <w:t>Міноборони</w:t>
            </w:r>
          </w:p>
          <w:p w:rsidR="004B11F1" w:rsidRPr="004B11F1" w:rsidRDefault="004B11F1" w:rsidP="004B11F1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 w:bidi="uk-UA"/>
              </w:rPr>
              <w:t>Мінекономіки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7532B6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електронний реєстр учасників відбору та виконавців державних контрактів (договорів) введено в експлуатацію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</w:pPr>
            <w:r w:rsidRPr="004B11F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>Не розпочато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F1">
              <w:rPr>
                <w:rFonts w:ascii="Times New Roman" w:hAnsi="Times New Roman" w:cs="Times New Roman"/>
                <w:sz w:val="20"/>
                <w:szCs w:val="20"/>
              </w:rPr>
              <w:t>Не розпочато</w:t>
            </w:r>
          </w:p>
        </w:tc>
      </w:tr>
      <w:tr w:rsidR="004B11F1" w:rsidRPr="004B11F1" w:rsidTr="005F5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1F1" w:rsidRPr="004B11F1" w:rsidRDefault="004B11F1" w:rsidP="004B11F1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2.6.2.5.1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 xml:space="preserve">Визначення процедур проведення оборонних закупівель через міжнародні спеціалізовані організації, їх представництва, спеціалізовані фонди, підприємства, установи та організації, а також через програми міжнародних військових продажів, які визначені відповідно до переліку міжнародних спеціалізованих організацій, їх представництв, що здійснюють закупівлі товарів, робіт і послуг оборонного призначення, затвердженого постановою </w:t>
            </w: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 w:eastAsia="uk-UA" w:bidi="uk-UA"/>
              </w:rPr>
              <w:t>Кабінету Міністрів України від 26 травня 2021 р. № 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4B11F1">
              <w:rPr>
                <w:bCs/>
                <w:sz w:val="20"/>
                <w:szCs w:val="20"/>
                <w:shd w:val="clear" w:color="auto" w:fill="FFFFFF"/>
              </w:rPr>
              <w:t>березень 2023 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4B11F1">
              <w:rPr>
                <w:bCs/>
                <w:sz w:val="20"/>
                <w:szCs w:val="20"/>
                <w:shd w:val="clear" w:color="auto" w:fill="FFFFFF"/>
              </w:rPr>
              <w:t>грудень 2025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/>
              </w:rPr>
              <w:t>Міноборони</w:t>
            </w:r>
          </w:p>
          <w:p w:rsidR="004B11F1" w:rsidRPr="004B11F1" w:rsidRDefault="004B11F1" w:rsidP="004B11F1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/>
              </w:rPr>
              <w:t>Мінстратегпром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ind w:firstLine="35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 w:bidi="uk-UA"/>
              </w:rPr>
              <w:t>процедури визначено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7532B6" w:rsidP="004B1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 xml:space="preserve">У разі надходження проекту нормативно-правового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>, Мінстратегпром візьме участь у його опрацюванні.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Default="005F54DE" w:rsidP="004B11F1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>Стадія виконання</w:t>
            </w:r>
          </w:p>
          <w:p w:rsidR="007532B6" w:rsidRPr="004B11F1" w:rsidRDefault="007532B6" w:rsidP="00753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1F1" w:rsidRPr="004B11F1" w:rsidTr="005F5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1F1" w:rsidRPr="004B11F1" w:rsidRDefault="004B11F1" w:rsidP="004B11F1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2.6.2.5.2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 w:bidi="uk-UA"/>
              </w:rPr>
              <w:t>Проведення оборонних закупівель через міжнародні спеціалізовані організації, їх представництва, спеціалізовані фонди, підприємства, установи та організації, а також через програми міжнародних військових продажів відповідно до процедур, зазначених у підпункті 2.6.2.5.1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4B11F1">
              <w:rPr>
                <w:bCs/>
                <w:sz w:val="20"/>
                <w:szCs w:val="20"/>
                <w:shd w:val="clear" w:color="auto" w:fill="FFFFFF"/>
              </w:rPr>
              <w:t>березень 2023 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4B11F1">
              <w:rPr>
                <w:bCs/>
                <w:sz w:val="20"/>
                <w:szCs w:val="20"/>
                <w:shd w:val="clear" w:color="auto" w:fill="FFFFFF"/>
              </w:rPr>
              <w:t>грудень 2025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 w:eastAsia="uk-UA"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 w:eastAsia="uk-UA" w:bidi="uk-UA"/>
              </w:rPr>
              <w:t>Міноборони</w:t>
            </w:r>
          </w:p>
          <w:p w:rsidR="004B11F1" w:rsidRPr="004B11F1" w:rsidRDefault="004B11F1" w:rsidP="004B11F1">
            <w:pPr>
              <w:spacing w:before="6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4B11F1">
            <w:pPr>
              <w:pStyle w:val="a9"/>
              <w:spacing w:before="0" w:beforeAutospacing="0" w:after="0" w:afterAutospacing="0"/>
              <w:rPr>
                <w:rFonts w:eastAsia="Calibri"/>
                <w:b/>
                <w:noProof/>
                <w:sz w:val="20"/>
                <w:szCs w:val="20"/>
                <w:lang w:bidi="uk-UA"/>
              </w:rPr>
            </w:pPr>
            <w:r w:rsidRPr="004B11F1">
              <w:rPr>
                <w:rFonts w:eastAsia="Calibri"/>
                <w:noProof/>
                <w:sz w:val="20"/>
                <w:szCs w:val="20"/>
                <w:lang w:val="en-AU" w:bidi="uk-UA"/>
              </w:rPr>
              <w:t>Мінстратегпром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4B11F1" w:rsidP="005F54DE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bidi="uk-UA"/>
              </w:rPr>
            </w:pPr>
            <w:r w:rsidRPr="004B11F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bidi="uk-UA"/>
              </w:rPr>
              <w:t>проведено не менше 5 відсотків оборонних закупівель через міжнародні спеціалізовані організації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Pr="004B11F1" w:rsidRDefault="007532B6" w:rsidP="004B1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 xml:space="preserve">У разі надходження проекту нормативно-правового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>, Мінстратегпром візьме участь у його опрацюванні.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1" w:rsidRDefault="005F54DE" w:rsidP="004B11F1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uk-UA"/>
              </w:rPr>
              <w:t>Стадія виконання</w:t>
            </w:r>
          </w:p>
          <w:p w:rsidR="007532B6" w:rsidRPr="004B11F1" w:rsidRDefault="007532B6" w:rsidP="004B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1F1" w:rsidRDefault="004B11F1" w:rsidP="004B11F1">
      <w:pPr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4B11F1" w:rsidRDefault="004B11F1" w:rsidP="004B11F1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згідно з додатком 2 до Державної антикорупційної програми на 2023 – 2025 роки, затвердженої постановою Кабінету Міністрів України від 04.03.2023 № 220</w:t>
      </w:r>
    </w:p>
    <w:p w:rsidR="00F414D2" w:rsidRPr="004B11F1" w:rsidRDefault="00F414D2" w:rsidP="00C55A0D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sz w:val="20"/>
          <w:szCs w:val="20"/>
        </w:rPr>
      </w:pPr>
    </w:p>
    <w:sectPr w:rsidR="00F414D2" w:rsidRPr="004B11F1" w:rsidSect="00C55A0D">
      <w:headerReference w:type="default" r:id="rId8"/>
      <w:pgSz w:w="16838" w:h="11906" w:orient="landscape"/>
      <w:pgMar w:top="1417" w:right="850" w:bottom="85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E9" w:rsidRDefault="006926E9" w:rsidP="00A92E5A">
      <w:pPr>
        <w:spacing w:after="0" w:line="240" w:lineRule="auto"/>
      </w:pPr>
      <w:r>
        <w:separator/>
      </w:r>
    </w:p>
  </w:endnote>
  <w:endnote w:type="continuationSeparator" w:id="0">
    <w:p w:rsidR="006926E9" w:rsidRDefault="006926E9" w:rsidP="00A9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E9" w:rsidRDefault="006926E9" w:rsidP="00A92E5A">
      <w:pPr>
        <w:spacing w:after="0" w:line="240" w:lineRule="auto"/>
      </w:pPr>
      <w:r>
        <w:separator/>
      </w:r>
    </w:p>
  </w:footnote>
  <w:footnote w:type="continuationSeparator" w:id="0">
    <w:p w:rsidR="006926E9" w:rsidRDefault="006926E9" w:rsidP="00A9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915420"/>
      <w:docPartObj>
        <w:docPartGallery w:val="Page Numbers (Top of Page)"/>
        <w:docPartUnique/>
      </w:docPartObj>
    </w:sdtPr>
    <w:sdtEndPr/>
    <w:sdtContent>
      <w:p w:rsidR="004E76B5" w:rsidRDefault="004E76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FE">
          <w:rPr>
            <w:noProof/>
          </w:rPr>
          <w:t>6</w:t>
        </w:r>
        <w:r>
          <w:fldChar w:fldCharType="end"/>
        </w:r>
      </w:p>
    </w:sdtContent>
  </w:sdt>
  <w:p w:rsidR="004E76B5" w:rsidRDefault="004E76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2D1"/>
    <w:multiLevelType w:val="multilevel"/>
    <w:tmpl w:val="192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B46E3"/>
    <w:multiLevelType w:val="hybridMultilevel"/>
    <w:tmpl w:val="95729B16"/>
    <w:lvl w:ilvl="0" w:tplc="E5E88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DB2A79"/>
    <w:multiLevelType w:val="hybridMultilevel"/>
    <w:tmpl w:val="8BB626BC"/>
    <w:lvl w:ilvl="0" w:tplc="A61C0F98">
      <w:start w:val="1"/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497A1F4C"/>
    <w:multiLevelType w:val="hybridMultilevel"/>
    <w:tmpl w:val="DC08BDC4"/>
    <w:lvl w:ilvl="0" w:tplc="00145F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1217BA3"/>
    <w:multiLevelType w:val="hybridMultilevel"/>
    <w:tmpl w:val="7D1C32CA"/>
    <w:lvl w:ilvl="0" w:tplc="5AAA7F9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29F37D7"/>
    <w:multiLevelType w:val="multilevel"/>
    <w:tmpl w:val="C64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F6BD5"/>
    <w:multiLevelType w:val="hybridMultilevel"/>
    <w:tmpl w:val="2A7AF774"/>
    <w:lvl w:ilvl="0" w:tplc="C00E6F62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FE4D2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1C584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2647D4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7483F8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29EFA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C7BA8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AD0D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0A241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1E602C"/>
    <w:multiLevelType w:val="hybridMultilevel"/>
    <w:tmpl w:val="7D04A10C"/>
    <w:lvl w:ilvl="0" w:tplc="D196E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16"/>
    <w:rsid w:val="00040876"/>
    <w:rsid w:val="0004106A"/>
    <w:rsid w:val="00064F18"/>
    <w:rsid w:val="00070C29"/>
    <w:rsid w:val="00093CDE"/>
    <w:rsid w:val="0009406B"/>
    <w:rsid w:val="000A4687"/>
    <w:rsid w:val="000A784E"/>
    <w:rsid w:val="000D4FDD"/>
    <w:rsid w:val="000E5FC3"/>
    <w:rsid w:val="000F7A15"/>
    <w:rsid w:val="00110652"/>
    <w:rsid w:val="00113919"/>
    <w:rsid w:val="00122FDE"/>
    <w:rsid w:val="00135DC4"/>
    <w:rsid w:val="00136E32"/>
    <w:rsid w:val="001427B5"/>
    <w:rsid w:val="00145E30"/>
    <w:rsid w:val="00147133"/>
    <w:rsid w:val="001531B4"/>
    <w:rsid w:val="0016115E"/>
    <w:rsid w:val="001616C7"/>
    <w:rsid w:val="00170A2B"/>
    <w:rsid w:val="00171AB2"/>
    <w:rsid w:val="00176333"/>
    <w:rsid w:val="00182214"/>
    <w:rsid w:val="001C61AD"/>
    <w:rsid w:val="001E7F4C"/>
    <w:rsid w:val="001F6813"/>
    <w:rsid w:val="00213845"/>
    <w:rsid w:val="00215E6D"/>
    <w:rsid w:val="00220B3E"/>
    <w:rsid w:val="00226D83"/>
    <w:rsid w:val="00237CBE"/>
    <w:rsid w:val="00243AAB"/>
    <w:rsid w:val="00274409"/>
    <w:rsid w:val="00274964"/>
    <w:rsid w:val="00275D5A"/>
    <w:rsid w:val="0027601A"/>
    <w:rsid w:val="00284946"/>
    <w:rsid w:val="002A239D"/>
    <w:rsid w:val="002B1CD5"/>
    <w:rsid w:val="002B6E30"/>
    <w:rsid w:val="002D7A8D"/>
    <w:rsid w:val="002E3981"/>
    <w:rsid w:val="00331F49"/>
    <w:rsid w:val="003371BC"/>
    <w:rsid w:val="003423EA"/>
    <w:rsid w:val="00355107"/>
    <w:rsid w:val="0035648E"/>
    <w:rsid w:val="00357AE2"/>
    <w:rsid w:val="003842CB"/>
    <w:rsid w:val="00384F1B"/>
    <w:rsid w:val="00390A70"/>
    <w:rsid w:val="003918FF"/>
    <w:rsid w:val="00391FC7"/>
    <w:rsid w:val="003A0BF5"/>
    <w:rsid w:val="003B37B8"/>
    <w:rsid w:val="003B5F50"/>
    <w:rsid w:val="003E523E"/>
    <w:rsid w:val="003E5CEB"/>
    <w:rsid w:val="00407E8B"/>
    <w:rsid w:val="00410880"/>
    <w:rsid w:val="00410B11"/>
    <w:rsid w:val="00414950"/>
    <w:rsid w:val="0042591D"/>
    <w:rsid w:val="00436F9B"/>
    <w:rsid w:val="00446579"/>
    <w:rsid w:val="0045529F"/>
    <w:rsid w:val="00464C55"/>
    <w:rsid w:val="00467B88"/>
    <w:rsid w:val="00471AC6"/>
    <w:rsid w:val="004813A7"/>
    <w:rsid w:val="004A74BD"/>
    <w:rsid w:val="004B11F1"/>
    <w:rsid w:val="004B3882"/>
    <w:rsid w:val="004B3D8B"/>
    <w:rsid w:val="004C4171"/>
    <w:rsid w:val="004C74C9"/>
    <w:rsid w:val="004C76F9"/>
    <w:rsid w:val="004D3D69"/>
    <w:rsid w:val="004E6C03"/>
    <w:rsid w:val="004E76B5"/>
    <w:rsid w:val="004F09D1"/>
    <w:rsid w:val="004F17C0"/>
    <w:rsid w:val="00501EDF"/>
    <w:rsid w:val="005167CC"/>
    <w:rsid w:val="0051733F"/>
    <w:rsid w:val="005342A3"/>
    <w:rsid w:val="00581920"/>
    <w:rsid w:val="005A057A"/>
    <w:rsid w:val="005A6A29"/>
    <w:rsid w:val="005B3E28"/>
    <w:rsid w:val="005D5155"/>
    <w:rsid w:val="005E117B"/>
    <w:rsid w:val="005E6426"/>
    <w:rsid w:val="005F0E25"/>
    <w:rsid w:val="005F2075"/>
    <w:rsid w:val="005F30D6"/>
    <w:rsid w:val="005F54DE"/>
    <w:rsid w:val="00605456"/>
    <w:rsid w:val="00626585"/>
    <w:rsid w:val="0064091E"/>
    <w:rsid w:val="006549BE"/>
    <w:rsid w:val="006554C3"/>
    <w:rsid w:val="00656E61"/>
    <w:rsid w:val="0066476A"/>
    <w:rsid w:val="00665F80"/>
    <w:rsid w:val="006926E9"/>
    <w:rsid w:val="00693626"/>
    <w:rsid w:val="006A560A"/>
    <w:rsid w:val="006B17AF"/>
    <w:rsid w:val="006D2A9B"/>
    <w:rsid w:val="006D2C34"/>
    <w:rsid w:val="006F0DE5"/>
    <w:rsid w:val="007038C2"/>
    <w:rsid w:val="00720D3D"/>
    <w:rsid w:val="00733BA5"/>
    <w:rsid w:val="00743523"/>
    <w:rsid w:val="0074619F"/>
    <w:rsid w:val="007470F6"/>
    <w:rsid w:val="007532B6"/>
    <w:rsid w:val="00757592"/>
    <w:rsid w:val="00762FED"/>
    <w:rsid w:val="007752E4"/>
    <w:rsid w:val="00777308"/>
    <w:rsid w:val="007776ED"/>
    <w:rsid w:val="00782622"/>
    <w:rsid w:val="00786DC9"/>
    <w:rsid w:val="0078762C"/>
    <w:rsid w:val="007A0A67"/>
    <w:rsid w:val="007A44EF"/>
    <w:rsid w:val="007C5D06"/>
    <w:rsid w:val="007C5E2B"/>
    <w:rsid w:val="007D0A59"/>
    <w:rsid w:val="007D1997"/>
    <w:rsid w:val="007D6508"/>
    <w:rsid w:val="007F62C3"/>
    <w:rsid w:val="008215DE"/>
    <w:rsid w:val="008362B7"/>
    <w:rsid w:val="00840D92"/>
    <w:rsid w:val="00873D68"/>
    <w:rsid w:val="00875285"/>
    <w:rsid w:val="00884A09"/>
    <w:rsid w:val="0088529C"/>
    <w:rsid w:val="00887BC8"/>
    <w:rsid w:val="00892108"/>
    <w:rsid w:val="008B22B9"/>
    <w:rsid w:val="008C306F"/>
    <w:rsid w:val="008D1326"/>
    <w:rsid w:val="008E2D87"/>
    <w:rsid w:val="008E6B42"/>
    <w:rsid w:val="008F04F8"/>
    <w:rsid w:val="00912176"/>
    <w:rsid w:val="009137AB"/>
    <w:rsid w:val="00976639"/>
    <w:rsid w:val="009773F8"/>
    <w:rsid w:val="0098123A"/>
    <w:rsid w:val="00981B40"/>
    <w:rsid w:val="009A48EF"/>
    <w:rsid w:val="009C6E2B"/>
    <w:rsid w:val="009D0C5D"/>
    <w:rsid w:val="009D7AE1"/>
    <w:rsid w:val="009E2FD9"/>
    <w:rsid w:val="00A058B8"/>
    <w:rsid w:val="00A06A9D"/>
    <w:rsid w:val="00A07426"/>
    <w:rsid w:val="00A457EC"/>
    <w:rsid w:val="00A46C46"/>
    <w:rsid w:val="00A53BD8"/>
    <w:rsid w:val="00A67CFD"/>
    <w:rsid w:val="00A827AE"/>
    <w:rsid w:val="00A87B53"/>
    <w:rsid w:val="00A92E5A"/>
    <w:rsid w:val="00AA1CEA"/>
    <w:rsid w:val="00AB043B"/>
    <w:rsid w:val="00AB2C04"/>
    <w:rsid w:val="00AB4018"/>
    <w:rsid w:val="00AD26FE"/>
    <w:rsid w:val="00AE58BD"/>
    <w:rsid w:val="00AF1AFB"/>
    <w:rsid w:val="00B024A7"/>
    <w:rsid w:val="00B048B8"/>
    <w:rsid w:val="00B065A0"/>
    <w:rsid w:val="00B103AB"/>
    <w:rsid w:val="00B16CC9"/>
    <w:rsid w:val="00B363E9"/>
    <w:rsid w:val="00B55F63"/>
    <w:rsid w:val="00B60BAE"/>
    <w:rsid w:val="00B64DC3"/>
    <w:rsid w:val="00B65C80"/>
    <w:rsid w:val="00B66763"/>
    <w:rsid w:val="00B86A18"/>
    <w:rsid w:val="00B878F0"/>
    <w:rsid w:val="00B9491A"/>
    <w:rsid w:val="00BE45EF"/>
    <w:rsid w:val="00BF687C"/>
    <w:rsid w:val="00C0085C"/>
    <w:rsid w:val="00C266A8"/>
    <w:rsid w:val="00C54A31"/>
    <w:rsid w:val="00C55A0D"/>
    <w:rsid w:val="00C67F09"/>
    <w:rsid w:val="00C71675"/>
    <w:rsid w:val="00C863CC"/>
    <w:rsid w:val="00CA01F2"/>
    <w:rsid w:val="00CA4674"/>
    <w:rsid w:val="00CB1C0E"/>
    <w:rsid w:val="00CE2EBE"/>
    <w:rsid w:val="00CF0390"/>
    <w:rsid w:val="00D439CD"/>
    <w:rsid w:val="00D44093"/>
    <w:rsid w:val="00D54FFE"/>
    <w:rsid w:val="00D6113A"/>
    <w:rsid w:val="00D66839"/>
    <w:rsid w:val="00D67ED5"/>
    <w:rsid w:val="00D7363C"/>
    <w:rsid w:val="00D82415"/>
    <w:rsid w:val="00D853A2"/>
    <w:rsid w:val="00D94012"/>
    <w:rsid w:val="00DB5667"/>
    <w:rsid w:val="00DE09D8"/>
    <w:rsid w:val="00DE255D"/>
    <w:rsid w:val="00E02938"/>
    <w:rsid w:val="00E0536B"/>
    <w:rsid w:val="00E16469"/>
    <w:rsid w:val="00E24004"/>
    <w:rsid w:val="00E24AB6"/>
    <w:rsid w:val="00E37505"/>
    <w:rsid w:val="00E85B8C"/>
    <w:rsid w:val="00EC37F8"/>
    <w:rsid w:val="00ED4700"/>
    <w:rsid w:val="00ED6189"/>
    <w:rsid w:val="00EE194B"/>
    <w:rsid w:val="00F135A5"/>
    <w:rsid w:val="00F15449"/>
    <w:rsid w:val="00F30617"/>
    <w:rsid w:val="00F33335"/>
    <w:rsid w:val="00F414D2"/>
    <w:rsid w:val="00F42E69"/>
    <w:rsid w:val="00F43BDD"/>
    <w:rsid w:val="00F555A2"/>
    <w:rsid w:val="00F57FD7"/>
    <w:rsid w:val="00F65353"/>
    <w:rsid w:val="00F671D6"/>
    <w:rsid w:val="00F8266A"/>
    <w:rsid w:val="00F84A16"/>
    <w:rsid w:val="00FA1C40"/>
    <w:rsid w:val="00FA332E"/>
    <w:rsid w:val="00FB592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28C"/>
  <w15:chartTrackingRefBased/>
  <w15:docId w15:val="{CB21D4D6-44E4-4F60-83DD-3F92EF52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92E5A"/>
  </w:style>
  <w:style w:type="paragraph" w:styleId="a5">
    <w:name w:val="footer"/>
    <w:basedOn w:val="a"/>
    <w:link w:val="a6"/>
    <w:uiPriority w:val="99"/>
    <w:unhideWhenUsed/>
    <w:rsid w:val="00A92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92E5A"/>
  </w:style>
  <w:style w:type="character" w:styleId="a7">
    <w:name w:val="Hyperlink"/>
    <w:uiPriority w:val="99"/>
    <w:unhideWhenUsed/>
    <w:rsid w:val="00A92E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5285"/>
    <w:pPr>
      <w:spacing w:after="4" w:line="254" w:lineRule="auto"/>
      <w:ind w:left="720" w:firstLine="56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customStyle="1" w:styleId="rvps2">
    <w:name w:val="rvps2"/>
    <w:basedOn w:val="a"/>
    <w:rsid w:val="00F4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05456"/>
  </w:style>
  <w:style w:type="paragraph" w:customStyle="1" w:styleId="rvps12">
    <w:name w:val="rvps12"/>
    <w:basedOn w:val="a"/>
    <w:rsid w:val="00D8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D8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853A2"/>
  </w:style>
  <w:style w:type="character" w:customStyle="1" w:styleId="rvts37">
    <w:name w:val="rvts37"/>
    <w:basedOn w:val="a0"/>
    <w:rsid w:val="00CB1C0E"/>
  </w:style>
  <w:style w:type="character" w:customStyle="1" w:styleId="rvts52">
    <w:name w:val="rvts52"/>
    <w:basedOn w:val="a0"/>
    <w:rsid w:val="00CB1C0E"/>
  </w:style>
  <w:style w:type="character" w:customStyle="1" w:styleId="rvts44">
    <w:name w:val="rvts44"/>
    <w:basedOn w:val="a0"/>
    <w:rsid w:val="009D0C5D"/>
  </w:style>
  <w:style w:type="character" w:customStyle="1" w:styleId="rvts46">
    <w:name w:val="rvts46"/>
    <w:basedOn w:val="a0"/>
    <w:rsid w:val="00DB5667"/>
  </w:style>
  <w:style w:type="paragraph" w:styleId="a9">
    <w:name w:val="Normal (Web)"/>
    <w:basedOn w:val="a"/>
    <w:uiPriority w:val="99"/>
    <w:unhideWhenUsed/>
    <w:rsid w:val="000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0D4FDD"/>
  </w:style>
  <w:style w:type="character" w:customStyle="1" w:styleId="20">
    <w:name w:val="Заголовок 2 Знак"/>
    <w:basedOn w:val="a0"/>
    <w:link w:val="2"/>
    <w:uiPriority w:val="9"/>
    <w:rsid w:val="00AB2C0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AB2C04"/>
  </w:style>
  <w:style w:type="character" w:styleId="aa">
    <w:name w:val="FollowedHyperlink"/>
    <w:basedOn w:val="a0"/>
    <w:uiPriority w:val="99"/>
    <w:semiHidden/>
    <w:unhideWhenUsed/>
    <w:rsid w:val="001C61AD"/>
    <w:rPr>
      <w:color w:val="954F72" w:themeColor="followedHyperlink"/>
      <w:u w:val="single"/>
    </w:rPr>
  </w:style>
  <w:style w:type="paragraph" w:customStyle="1" w:styleId="rvps14">
    <w:name w:val="rvps14"/>
    <w:basedOn w:val="a"/>
    <w:rsid w:val="001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F5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555A2"/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rsid w:val="0013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135DC4"/>
  </w:style>
  <w:style w:type="paragraph" w:customStyle="1" w:styleId="rvps7">
    <w:name w:val="rvps7"/>
    <w:basedOn w:val="a"/>
    <w:rsid w:val="0013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d">
    <w:name w:val="Table Grid"/>
    <w:basedOn w:val="a1"/>
    <w:uiPriority w:val="39"/>
    <w:rsid w:val="00F414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F5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C8CD-7EB4-4E4F-8F4F-D14BE4A2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5975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Юлія Орла</cp:lastModifiedBy>
  <cp:revision>3</cp:revision>
  <dcterms:created xsi:type="dcterms:W3CDTF">2023-10-20T15:31:00Z</dcterms:created>
  <dcterms:modified xsi:type="dcterms:W3CDTF">2023-10-23T14:43:00Z</dcterms:modified>
</cp:coreProperties>
</file>