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FB" w:rsidRPr="009B3B49" w:rsidRDefault="00E805FB" w:rsidP="000D1E8A">
      <w:pPr>
        <w:spacing w:after="0" w:line="240" w:lineRule="auto"/>
        <w:ind w:firstLine="567"/>
        <w:jc w:val="both"/>
        <w:rPr>
          <w:sz w:val="24"/>
          <w:szCs w:val="24"/>
        </w:rPr>
      </w:pPr>
    </w:p>
    <w:p w:rsidR="005958F5" w:rsidRPr="009B3B49" w:rsidRDefault="005958F5" w:rsidP="00C12861">
      <w:pPr>
        <w:ind w:left="9639"/>
      </w:pPr>
      <w:r w:rsidRPr="009B3B49">
        <w:t>ЗАТВЕРДЖЕНО</w:t>
      </w:r>
    </w:p>
    <w:p w:rsidR="001B28C2" w:rsidRDefault="005958F5" w:rsidP="00C12861">
      <w:pPr>
        <w:ind w:left="9639"/>
      </w:pPr>
      <w:r w:rsidRPr="009B3B49">
        <w:t>Наказ Міністерства з питань стратегічних галузей промисловості України</w:t>
      </w:r>
      <w:r w:rsidR="00C12861" w:rsidRPr="009B3B49">
        <w:t xml:space="preserve"> </w:t>
      </w:r>
      <w:r w:rsidR="003B19C1">
        <w:t>від 10.12.2021 № 267</w:t>
      </w:r>
    </w:p>
    <w:p w:rsidR="00C12861" w:rsidRPr="009B3B49" w:rsidRDefault="003B19C1" w:rsidP="00C12861">
      <w:pPr>
        <w:ind w:left="9639"/>
      </w:pPr>
      <w:r>
        <w:t>(у редакції наказу Міністерства з питань стратегічних галузей промисловості України від _</w:t>
      </w:r>
      <w:r w:rsidR="001B28C2">
        <w:t>_</w:t>
      </w:r>
      <w:r w:rsidR="00584B4C">
        <w:t>_</w:t>
      </w:r>
      <w:r w:rsidR="009D4651">
        <w:t xml:space="preserve">__________ </w:t>
      </w:r>
      <w:r w:rsidR="00C12861" w:rsidRPr="009B3B49">
        <w:t xml:space="preserve">№ </w:t>
      </w:r>
      <w:r w:rsidR="009D4651">
        <w:t>________</w:t>
      </w:r>
      <w:r>
        <w:t>)</w:t>
      </w:r>
    </w:p>
    <w:p w:rsidR="005958F5" w:rsidRPr="009B3B49" w:rsidRDefault="00C12861" w:rsidP="000D1E8A">
      <w:pPr>
        <w:spacing w:after="0" w:line="240" w:lineRule="auto"/>
        <w:jc w:val="center"/>
      </w:pPr>
      <w:r w:rsidRPr="009B3B49">
        <w:rPr>
          <w:b/>
        </w:rPr>
        <w:t>План</w:t>
      </w:r>
      <w:r w:rsidR="005958F5" w:rsidRPr="009B3B49">
        <w:rPr>
          <w:b/>
        </w:rPr>
        <w:t xml:space="preserve"> діяльності</w:t>
      </w:r>
    </w:p>
    <w:p w:rsidR="005958F5" w:rsidRPr="009B3B49" w:rsidRDefault="005958F5" w:rsidP="000D1E8A">
      <w:pPr>
        <w:spacing w:after="0" w:line="240" w:lineRule="auto"/>
        <w:jc w:val="center"/>
      </w:pPr>
      <w:r w:rsidRPr="009B3B49">
        <w:rPr>
          <w:b/>
        </w:rPr>
        <w:t>Міністерства з питань стратегічних галузей промисловості України</w:t>
      </w:r>
    </w:p>
    <w:p w:rsidR="005958F5" w:rsidRPr="009B3B49" w:rsidRDefault="005958F5" w:rsidP="000D1E8A">
      <w:pPr>
        <w:spacing w:after="0" w:line="240" w:lineRule="auto"/>
        <w:jc w:val="center"/>
        <w:rPr>
          <w:b/>
        </w:rPr>
      </w:pPr>
      <w:r w:rsidRPr="009B3B49">
        <w:rPr>
          <w:b/>
        </w:rPr>
        <w:t>з підготовки про</w:t>
      </w:r>
      <w:r w:rsidR="00F908D8">
        <w:rPr>
          <w:b/>
        </w:rPr>
        <w:t>є</w:t>
      </w:r>
      <w:r w:rsidRPr="009B3B49">
        <w:rPr>
          <w:b/>
        </w:rPr>
        <w:t>ктів регуляторних актів на 202</w:t>
      </w:r>
      <w:r w:rsidR="00584B4C">
        <w:rPr>
          <w:b/>
        </w:rPr>
        <w:t>2</w:t>
      </w:r>
      <w:r w:rsidRPr="009B3B49">
        <w:rPr>
          <w:b/>
        </w:rPr>
        <w:t xml:space="preserve"> рік</w:t>
      </w:r>
      <w:r w:rsidR="00C12861" w:rsidRPr="009B3B49">
        <w:rPr>
          <w:b/>
        </w:rPr>
        <w:t xml:space="preserve"> </w:t>
      </w:r>
    </w:p>
    <w:p w:rsidR="000D1E8A" w:rsidRPr="009B3B49" w:rsidRDefault="000D1E8A" w:rsidP="000D1E8A">
      <w:pPr>
        <w:spacing w:after="0" w:line="240" w:lineRule="auto"/>
        <w:jc w:val="both"/>
        <w:rPr>
          <w:b/>
          <w:sz w:val="24"/>
          <w:szCs w:val="24"/>
        </w:rPr>
      </w:pPr>
    </w:p>
    <w:tbl>
      <w:tblPr>
        <w:tblStyle w:val="ac"/>
        <w:tblW w:w="14602" w:type="dxa"/>
        <w:tblInd w:w="-431" w:type="dxa"/>
        <w:tblLayout w:type="fixed"/>
        <w:tblLook w:val="04A0" w:firstRow="1" w:lastRow="0" w:firstColumn="1" w:lastColumn="0" w:noHBand="0" w:noVBand="1"/>
      </w:tblPr>
      <w:tblGrid>
        <w:gridCol w:w="568"/>
        <w:gridCol w:w="2552"/>
        <w:gridCol w:w="2835"/>
        <w:gridCol w:w="1418"/>
        <w:gridCol w:w="4110"/>
        <w:gridCol w:w="3119"/>
      </w:tblGrid>
      <w:tr w:rsidR="009B3B49" w:rsidRPr="009B3B49" w:rsidTr="007B35ED">
        <w:trPr>
          <w:trHeight w:val="2120"/>
        </w:trPr>
        <w:tc>
          <w:tcPr>
            <w:tcW w:w="568" w:type="dxa"/>
          </w:tcPr>
          <w:p w:rsidR="008C4D2E" w:rsidRPr="009B3B49" w:rsidRDefault="008C4D2E" w:rsidP="000D1E8A">
            <w:pPr>
              <w:jc w:val="both"/>
              <w:rPr>
                <w:b/>
                <w:sz w:val="24"/>
                <w:szCs w:val="24"/>
              </w:rPr>
            </w:pPr>
            <w:r w:rsidRPr="009B3B49">
              <w:rPr>
                <w:b/>
                <w:sz w:val="24"/>
                <w:szCs w:val="24"/>
              </w:rPr>
              <w:t>№ п/п</w:t>
            </w:r>
          </w:p>
        </w:tc>
        <w:tc>
          <w:tcPr>
            <w:tcW w:w="2552" w:type="dxa"/>
          </w:tcPr>
          <w:p w:rsidR="008C4D2E" w:rsidRPr="009B3B49" w:rsidRDefault="008C4D2E" w:rsidP="00F908D8">
            <w:pPr>
              <w:jc w:val="both"/>
              <w:rPr>
                <w:b/>
                <w:sz w:val="24"/>
                <w:szCs w:val="24"/>
              </w:rPr>
            </w:pPr>
            <w:r w:rsidRPr="009B3B49">
              <w:rPr>
                <w:b/>
                <w:sz w:val="24"/>
                <w:szCs w:val="24"/>
              </w:rPr>
              <w:t>Назва про</w:t>
            </w:r>
            <w:r w:rsidR="00F908D8">
              <w:rPr>
                <w:b/>
                <w:sz w:val="24"/>
                <w:szCs w:val="24"/>
              </w:rPr>
              <w:t>є</w:t>
            </w:r>
            <w:r w:rsidRPr="009B3B49">
              <w:rPr>
                <w:b/>
                <w:sz w:val="24"/>
                <w:szCs w:val="24"/>
              </w:rPr>
              <w:t>кту регуляторного акта (Закону України, акта Президента України, акта Кабінету Міністрів України, наказу Мінстратегпрому)</w:t>
            </w:r>
          </w:p>
        </w:tc>
        <w:tc>
          <w:tcPr>
            <w:tcW w:w="2835" w:type="dxa"/>
          </w:tcPr>
          <w:p w:rsidR="008C4D2E" w:rsidRPr="009B3B49" w:rsidRDefault="008C4D2E" w:rsidP="000D1E8A">
            <w:pPr>
              <w:jc w:val="both"/>
              <w:rPr>
                <w:sz w:val="24"/>
                <w:szCs w:val="24"/>
              </w:rPr>
            </w:pPr>
            <w:r w:rsidRPr="009B3B49">
              <w:rPr>
                <w:b/>
                <w:sz w:val="24"/>
                <w:szCs w:val="24"/>
              </w:rPr>
              <w:t>Обґрунтування необхідності прийняття регуляторного акта</w:t>
            </w:r>
          </w:p>
        </w:tc>
        <w:tc>
          <w:tcPr>
            <w:tcW w:w="1418" w:type="dxa"/>
          </w:tcPr>
          <w:p w:rsidR="008C4D2E" w:rsidRPr="009B3B49" w:rsidRDefault="008C4D2E" w:rsidP="000D1E8A">
            <w:pPr>
              <w:jc w:val="both"/>
              <w:rPr>
                <w:b/>
                <w:sz w:val="24"/>
                <w:szCs w:val="24"/>
              </w:rPr>
            </w:pPr>
            <w:r w:rsidRPr="009B3B49">
              <w:rPr>
                <w:b/>
                <w:sz w:val="24"/>
                <w:szCs w:val="24"/>
              </w:rPr>
              <w:t>Строк виконання</w:t>
            </w:r>
          </w:p>
        </w:tc>
        <w:tc>
          <w:tcPr>
            <w:tcW w:w="4110" w:type="dxa"/>
          </w:tcPr>
          <w:p w:rsidR="008C4D2E" w:rsidRPr="009B3B49" w:rsidRDefault="005958F5" w:rsidP="000D1E8A">
            <w:pPr>
              <w:jc w:val="both"/>
              <w:rPr>
                <w:b/>
                <w:sz w:val="24"/>
                <w:szCs w:val="24"/>
              </w:rPr>
            </w:pPr>
            <w:r w:rsidRPr="009B3B49">
              <w:rPr>
                <w:b/>
                <w:sz w:val="24"/>
                <w:szCs w:val="24"/>
              </w:rPr>
              <w:t>Очікувані результати</w:t>
            </w:r>
          </w:p>
        </w:tc>
        <w:tc>
          <w:tcPr>
            <w:tcW w:w="3119" w:type="dxa"/>
          </w:tcPr>
          <w:p w:rsidR="008C4D2E" w:rsidRPr="009B3B49" w:rsidRDefault="008C4D2E" w:rsidP="000D1E8A">
            <w:pPr>
              <w:jc w:val="both"/>
              <w:rPr>
                <w:b/>
                <w:sz w:val="24"/>
                <w:szCs w:val="24"/>
              </w:rPr>
            </w:pPr>
            <w:r w:rsidRPr="009B3B49">
              <w:rPr>
                <w:b/>
                <w:sz w:val="24"/>
                <w:szCs w:val="24"/>
              </w:rPr>
              <w:t>Виконавець</w:t>
            </w:r>
          </w:p>
        </w:tc>
      </w:tr>
      <w:tr w:rsidR="009B3B49" w:rsidRPr="009B3B49" w:rsidTr="007851B7">
        <w:tc>
          <w:tcPr>
            <w:tcW w:w="568" w:type="dxa"/>
          </w:tcPr>
          <w:p w:rsidR="00FA6B92" w:rsidRPr="009B3B49" w:rsidRDefault="00FA6B92" w:rsidP="000D1E8A">
            <w:pPr>
              <w:jc w:val="both"/>
              <w:rPr>
                <w:sz w:val="24"/>
                <w:szCs w:val="24"/>
              </w:rPr>
            </w:pPr>
          </w:p>
          <w:p w:rsidR="008C4D2E" w:rsidRPr="009B3B49" w:rsidRDefault="008C4D2E" w:rsidP="000D1E8A">
            <w:pPr>
              <w:jc w:val="both"/>
              <w:rPr>
                <w:sz w:val="24"/>
                <w:szCs w:val="24"/>
              </w:rPr>
            </w:pPr>
            <w:r w:rsidRPr="009B3B49">
              <w:rPr>
                <w:sz w:val="24"/>
                <w:szCs w:val="24"/>
              </w:rPr>
              <w:t>1</w:t>
            </w:r>
          </w:p>
        </w:tc>
        <w:tc>
          <w:tcPr>
            <w:tcW w:w="2552" w:type="dxa"/>
          </w:tcPr>
          <w:p w:rsidR="00FA6B92" w:rsidRPr="009B3B49" w:rsidRDefault="006C0FD5" w:rsidP="000D1E8A">
            <w:pPr>
              <w:jc w:val="both"/>
              <w:rPr>
                <w:sz w:val="24"/>
                <w:szCs w:val="24"/>
              </w:rPr>
            </w:pPr>
            <w:r w:rsidRPr="009B3B49">
              <w:rPr>
                <w:sz w:val="24"/>
                <w:szCs w:val="24"/>
              </w:rPr>
              <w:t>Про</w:t>
            </w:r>
            <w:r w:rsidR="00F908D8">
              <w:rPr>
                <w:sz w:val="24"/>
                <w:szCs w:val="24"/>
              </w:rPr>
              <w:t>є</w:t>
            </w:r>
            <w:r w:rsidRPr="009B3B49">
              <w:rPr>
                <w:sz w:val="24"/>
                <w:szCs w:val="24"/>
              </w:rPr>
              <w:t xml:space="preserve">кт Закону «Про </w:t>
            </w:r>
            <w:r w:rsidR="00FA6B92" w:rsidRPr="009B3B49">
              <w:rPr>
                <w:sz w:val="24"/>
                <w:szCs w:val="24"/>
              </w:rPr>
              <w:t>державн</w:t>
            </w:r>
            <w:r w:rsidRPr="009B3B49">
              <w:rPr>
                <w:sz w:val="24"/>
                <w:szCs w:val="24"/>
              </w:rPr>
              <w:t>у</w:t>
            </w:r>
            <w:r w:rsidR="00FA6B92" w:rsidRPr="009B3B49">
              <w:rPr>
                <w:sz w:val="24"/>
                <w:szCs w:val="24"/>
              </w:rPr>
              <w:t xml:space="preserve"> промислов</w:t>
            </w:r>
            <w:r w:rsidRPr="009B3B49">
              <w:rPr>
                <w:sz w:val="24"/>
                <w:szCs w:val="24"/>
              </w:rPr>
              <w:t>у</w:t>
            </w:r>
            <w:r w:rsidR="00FA6B92" w:rsidRPr="009B3B49">
              <w:rPr>
                <w:sz w:val="24"/>
                <w:szCs w:val="24"/>
              </w:rPr>
              <w:t xml:space="preserve"> політик</w:t>
            </w:r>
            <w:r w:rsidRPr="009B3B49">
              <w:rPr>
                <w:sz w:val="24"/>
                <w:szCs w:val="24"/>
              </w:rPr>
              <w:t>у»</w:t>
            </w:r>
            <w:r w:rsidR="00FA6B92" w:rsidRPr="009B3B49">
              <w:rPr>
                <w:sz w:val="24"/>
                <w:szCs w:val="24"/>
              </w:rPr>
              <w:t xml:space="preserve"> </w:t>
            </w:r>
          </w:p>
          <w:p w:rsidR="00FA6B92" w:rsidRPr="009B3B49" w:rsidRDefault="00FA6B92" w:rsidP="000D1E8A">
            <w:pPr>
              <w:jc w:val="both"/>
              <w:rPr>
                <w:sz w:val="24"/>
                <w:szCs w:val="24"/>
              </w:rPr>
            </w:pPr>
          </w:p>
          <w:p w:rsidR="00072937" w:rsidRPr="009B3B49" w:rsidRDefault="00072937" w:rsidP="00072937">
            <w:pPr>
              <w:jc w:val="both"/>
              <w:rPr>
                <w:sz w:val="24"/>
                <w:szCs w:val="24"/>
              </w:rPr>
            </w:pPr>
          </w:p>
          <w:p w:rsidR="008C4D2E" w:rsidRPr="009B3B49" w:rsidRDefault="008C4D2E" w:rsidP="000D1E8A">
            <w:pPr>
              <w:jc w:val="both"/>
              <w:rPr>
                <w:sz w:val="24"/>
                <w:szCs w:val="24"/>
              </w:rPr>
            </w:pPr>
          </w:p>
        </w:tc>
        <w:tc>
          <w:tcPr>
            <w:tcW w:w="2835" w:type="dxa"/>
          </w:tcPr>
          <w:p w:rsidR="008C4D2E" w:rsidRPr="009B3B49" w:rsidRDefault="002D2565" w:rsidP="000D1E8A">
            <w:pPr>
              <w:jc w:val="both"/>
              <w:rPr>
                <w:sz w:val="24"/>
                <w:szCs w:val="24"/>
              </w:rPr>
            </w:pPr>
            <w:r w:rsidRPr="009B3B49">
              <w:rPr>
                <w:sz w:val="24"/>
                <w:szCs w:val="24"/>
              </w:rPr>
              <w:t>Необхідність вирішення проблемних питань, пов’язаних із реалізацією державної політики у промисловій сфері</w:t>
            </w:r>
          </w:p>
        </w:tc>
        <w:tc>
          <w:tcPr>
            <w:tcW w:w="1418" w:type="dxa"/>
          </w:tcPr>
          <w:p w:rsidR="008C4D2E" w:rsidRPr="009B3B49" w:rsidRDefault="00584B4C" w:rsidP="000D1E8A">
            <w:pPr>
              <w:jc w:val="both"/>
              <w:rPr>
                <w:sz w:val="24"/>
                <w:szCs w:val="24"/>
              </w:rPr>
            </w:pPr>
            <w:r>
              <w:rPr>
                <w:sz w:val="24"/>
                <w:szCs w:val="24"/>
              </w:rPr>
              <w:t>Вересень</w:t>
            </w:r>
          </w:p>
          <w:p w:rsidR="008C4D2E" w:rsidRPr="009B3B49" w:rsidRDefault="008C4D2E" w:rsidP="000D1E8A">
            <w:pPr>
              <w:jc w:val="both"/>
              <w:rPr>
                <w:sz w:val="24"/>
                <w:szCs w:val="24"/>
              </w:rPr>
            </w:pPr>
          </w:p>
        </w:tc>
        <w:tc>
          <w:tcPr>
            <w:tcW w:w="4110" w:type="dxa"/>
          </w:tcPr>
          <w:p w:rsidR="008C4D2E" w:rsidRPr="009B3B49" w:rsidRDefault="007851B7" w:rsidP="007851B7">
            <w:pPr>
              <w:spacing w:line="228" w:lineRule="auto"/>
              <w:jc w:val="both"/>
              <w:rPr>
                <w:sz w:val="24"/>
                <w:szCs w:val="24"/>
              </w:rPr>
            </w:pPr>
            <w:r>
              <w:rPr>
                <w:sz w:val="24"/>
                <w:szCs w:val="24"/>
              </w:rPr>
              <w:t>В</w:t>
            </w:r>
            <w:r w:rsidR="008C4D2E" w:rsidRPr="009B3B49">
              <w:rPr>
                <w:sz w:val="24"/>
                <w:szCs w:val="24"/>
              </w:rPr>
              <w:t xml:space="preserve">ирішення проблемних питань, пов’язаних із реалізацією державної політики у промисловій сфері; інтенсифікація розвитку високотехнологічних наукоємних із високою доданою вартістю виробництв для збільшення кількості високооплачуваних робочих місць, валового внутрішнього продукту, надходжень до бюджетів усіх рівнів </w:t>
            </w:r>
            <w:r w:rsidR="008C4D2E" w:rsidRPr="009B3B49">
              <w:rPr>
                <w:sz w:val="24"/>
                <w:szCs w:val="24"/>
              </w:rPr>
              <w:lastRenderedPageBreak/>
              <w:t>та соціальних фондів, покращення структури національної економіки та промисловості</w:t>
            </w:r>
          </w:p>
        </w:tc>
        <w:tc>
          <w:tcPr>
            <w:tcW w:w="3119" w:type="dxa"/>
          </w:tcPr>
          <w:p w:rsidR="002D2565" w:rsidRPr="009B3B49" w:rsidRDefault="008C4D2E" w:rsidP="000D1E8A">
            <w:pPr>
              <w:jc w:val="both"/>
              <w:rPr>
                <w:sz w:val="24"/>
                <w:szCs w:val="24"/>
              </w:rPr>
            </w:pPr>
            <w:r w:rsidRPr="009B3B49">
              <w:rPr>
                <w:sz w:val="24"/>
                <w:szCs w:val="24"/>
              </w:rPr>
              <w:lastRenderedPageBreak/>
              <w:t>Департамент з питань промисловості</w:t>
            </w:r>
          </w:p>
          <w:p w:rsidR="002D2565" w:rsidRPr="009B3B49" w:rsidRDefault="002D2565" w:rsidP="000D1E8A">
            <w:pPr>
              <w:jc w:val="both"/>
              <w:rPr>
                <w:sz w:val="24"/>
                <w:szCs w:val="24"/>
              </w:rPr>
            </w:pPr>
          </w:p>
          <w:p w:rsidR="002D2565" w:rsidRPr="009B3B49" w:rsidRDefault="002D2565" w:rsidP="000D1E8A">
            <w:pPr>
              <w:jc w:val="both"/>
              <w:rPr>
                <w:sz w:val="24"/>
                <w:szCs w:val="24"/>
              </w:rPr>
            </w:pPr>
            <w:r w:rsidRPr="009B3B49">
              <w:rPr>
                <w:sz w:val="24"/>
                <w:szCs w:val="24"/>
              </w:rPr>
              <w:t>Управління інвестиційної політики, міжнародної технічної допомоги та виставкової діяльності</w:t>
            </w:r>
          </w:p>
        </w:tc>
      </w:tr>
      <w:tr w:rsidR="009B3B49" w:rsidRPr="009B3B49" w:rsidTr="007B35ED">
        <w:tc>
          <w:tcPr>
            <w:tcW w:w="568" w:type="dxa"/>
          </w:tcPr>
          <w:p w:rsidR="008C4D2E" w:rsidRPr="009B3B49" w:rsidRDefault="00584B4C" w:rsidP="000D1E8A">
            <w:pPr>
              <w:jc w:val="both"/>
              <w:rPr>
                <w:sz w:val="24"/>
                <w:szCs w:val="24"/>
              </w:rPr>
            </w:pPr>
            <w:r>
              <w:rPr>
                <w:sz w:val="24"/>
                <w:szCs w:val="24"/>
              </w:rPr>
              <w:t>2</w:t>
            </w:r>
          </w:p>
        </w:tc>
        <w:tc>
          <w:tcPr>
            <w:tcW w:w="2552" w:type="dxa"/>
          </w:tcPr>
          <w:p w:rsidR="007F6756" w:rsidRPr="009B3B49" w:rsidRDefault="006C0FD5" w:rsidP="000D1E8A">
            <w:pPr>
              <w:jc w:val="both"/>
              <w:rPr>
                <w:sz w:val="24"/>
                <w:szCs w:val="24"/>
              </w:rPr>
            </w:pPr>
            <w:r w:rsidRPr="009B3B49">
              <w:rPr>
                <w:sz w:val="24"/>
                <w:szCs w:val="24"/>
              </w:rPr>
              <w:t>Про</w:t>
            </w:r>
            <w:r w:rsidR="00F908D8">
              <w:rPr>
                <w:sz w:val="24"/>
                <w:szCs w:val="24"/>
              </w:rPr>
              <w:t>є</w:t>
            </w:r>
            <w:r w:rsidRPr="009B3B49">
              <w:rPr>
                <w:sz w:val="24"/>
                <w:szCs w:val="24"/>
              </w:rPr>
              <w:t xml:space="preserve">кт </w:t>
            </w:r>
            <w:r w:rsidR="00072937" w:rsidRPr="009B3B49">
              <w:rPr>
                <w:sz w:val="24"/>
                <w:szCs w:val="24"/>
              </w:rPr>
              <w:t>З</w:t>
            </w:r>
            <w:r w:rsidR="008C4D2E" w:rsidRPr="009B3B49">
              <w:rPr>
                <w:sz w:val="24"/>
                <w:szCs w:val="24"/>
              </w:rPr>
              <w:t>акон</w:t>
            </w:r>
            <w:r w:rsidRPr="009B3B49">
              <w:rPr>
                <w:sz w:val="24"/>
                <w:szCs w:val="24"/>
              </w:rPr>
              <w:t>у «П</w:t>
            </w:r>
            <w:r w:rsidR="008C4D2E" w:rsidRPr="009B3B49">
              <w:rPr>
                <w:sz w:val="24"/>
                <w:szCs w:val="24"/>
              </w:rPr>
              <w:t>ро державне регулювання у сфері супутникової навігації</w:t>
            </w:r>
            <w:r w:rsidRPr="009B3B49">
              <w:rPr>
                <w:sz w:val="24"/>
                <w:szCs w:val="24"/>
              </w:rPr>
              <w:t>»</w:t>
            </w:r>
          </w:p>
          <w:p w:rsidR="007F6756" w:rsidRPr="009B3B49" w:rsidRDefault="008C4D2E" w:rsidP="000D1E8A">
            <w:pPr>
              <w:jc w:val="both"/>
              <w:rPr>
                <w:sz w:val="24"/>
                <w:szCs w:val="24"/>
              </w:rPr>
            </w:pPr>
            <w:r w:rsidRPr="009B3B49">
              <w:rPr>
                <w:sz w:val="24"/>
                <w:szCs w:val="24"/>
              </w:rPr>
              <w:t xml:space="preserve"> </w:t>
            </w:r>
          </w:p>
          <w:p w:rsidR="007F6756" w:rsidRPr="009B3B49" w:rsidRDefault="007F6756" w:rsidP="00072937">
            <w:pPr>
              <w:jc w:val="both"/>
              <w:rPr>
                <w:sz w:val="24"/>
                <w:szCs w:val="24"/>
              </w:rPr>
            </w:pPr>
          </w:p>
          <w:p w:rsidR="008C4D2E" w:rsidRPr="009B3B49" w:rsidRDefault="008C4D2E" w:rsidP="000D1E8A">
            <w:pPr>
              <w:jc w:val="both"/>
              <w:rPr>
                <w:sz w:val="24"/>
                <w:szCs w:val="24"/>
              </w:rPr>
            </w:pPr>
            <w:r w:rsidRPr="009B3B49">
              <w:rPr>
                <w:sz w:val="24"/>
                <w:szCs w:val="24"/>
              </w:rPr>
              <w:t xml:space="preserve">                   </w:t>
            </w:r>
          </w:p>
          <w:p w:rsidR="008C4D2E" w:rsidRPr="009B3B49" w:rsidRDefault="008C4D2E" w:rsidP="000D1E8A">
            <w:pPr>
              <w:jc w:val="both"/>
              <w:rPr>
                <w:sz w:val="24"/>
                <w:szCs w:val="24"/>
              </w:rPr>
            </w:pPr>
          </w:p>
        </w:tc>
        <w:tc>
          <w:tcPr>
            <w:tcW w:w="2835" w:type="dxa"/>
          </w:tcPr>
          <w:p w:rsidR="008C4D2E" w:rsidRPr="009B3B49" w:rsidRDefault="007F6756" w:rsidP="000D1E8A">
            <w:pPr>
              <w:jc w:val="both"/>
              <w:rPr>
                <w:sz w:val="24"/>
                <w:szCs w:val="24"/>
              </w:rPr>
            </w:pPr>
            <w:r w:rsidRPr="009B3B49">
              <w:rPr>
                <w:sz w:val="24"/>
                <w:szCs w:val="24"/>
              </w:rPr>
              <w:t>Визначення державного регулювання у сфері супутникової навігації</w:t>
            </w:r>
          </w:p>
        </w:tc>
        <w:tc>
          <w:tcPr>
            <w:tcW w:w="1418" w:type="dxa"/>
          </w:tcPr>
          <w:p w:rsidR="008C4D2E" w:rsidRPr="009B3B49" w:rsidRDefault="00584B4C" w:rsidP="000D1E8A">
            <w:pPr>
              <w:jc w:val="both"/>
              <w:rPr>
                <w:sz w:val="24"/>
                <w:szCs w:val="24"/>
              </w:rPr>
            </w:pPr>
            <w:r>
              <w:rPr>
                <w:sz w:val="24"/>
                <w:szCs w:val="24"/>
              </w:rPr>
              <w:t>Вересень</w:t>
            </w:r>
          </w:p>
        </w:tc>
        <w:tc>
          <w:tcPr>
            <w:tcW w:w="4110" w:type="dxa"/>
          </w:tcPr>
          <w:p w:rsidR="008C4D2E" w:rsidRPr="009B3B49" w:rsidRDefault="008C4D2E" w:rsidP="007851B7">
            <w:pPr>
              <w:jc w:val="both"/>
              <w:rPr>
                <w:sz w:val="24"/>
                <w:szCs w:val="24"/>
              </w:rPr>
            </w:pPr>
            <w:r w:rsidRPr="009B3B49">
              <w:rPr>
                <w:sz w:val="24"/>
                <w:szCs w:val="24"/>
              </w:rPr>
              <w:t>визначення повноважень державних органів, прав і зобов’язань суб’єктів супутникової навігації, вимог та умов щодо провадження підприємницької діяльності в сфері супутникової навігації, умов та порядку надання та використання супутникових навігаційних інформаційних послуг в Україні</w:t>
            </w:r>
          </w:p>
        </w:tc>
        <w:tc>
          <w:tcPr>
            <w:tcW w:w="3119" w:type="dxa"/>
          </w:tcPr>
          <w:p w:rsidR="008C4D2E" w:rsidRPr="009B3B49" w:rsidRDefault="008C4D2E" w:rsidP="000D1E8A">
            <w:pPr>
              <w:jc w:val="both"/>
              <w:rPr>
                <w:sz w:val="24"/>
                <w:szCs w:val="24"/>
              </w:rPr>
            </w:pPr>
            <w:r w:rsidRPr="009B3B49">
              <w:rPr>
                <w:sz w:val="24"/>
                <w:szCs w:val="24"/>
              </w:rPr>
              <w:t>Департамент формування політики авіаційної та космічної галуз</w:t>
            </w:r>
            <w:r w:rsidR="0028452F">
              <w:rPr>
                <w:sz w:val="24"/>
                <w:szCs w:val="24"/>
              </w:rPr>
              <w:t>ей</w:t>
            </w:r>
          </w:p>
          <w:p w:rsidR="007F6756" w:rsidRPr="009B3B49" w:rsidRDefault="007F6756" w:rsidP="000D1E8A">
            <w:pPr>
              <w:jc w:val="both"/>
              <w:rPr>
                <w:sz w:val="24"/>
                <w:szCs w:val="24"/>
              </w:rPr>
            </w:pPr>
          </w:p>
          <w:p w:rsidR="007F6756" w:rsidRPr="009B3B49" w:rsidRDefault="007F6756" w:rsidP="000D1E8A">
            <w:pPr>
              <w:jc w:val="both"/>
              <w:rPr>
                <w:sz w:val="24"/>
                <w:szCs w:val="24"/>
              </w:rPr>
            </w:pPr>
            <w:r w:rsidRPr="009B3B49">
              <w:rPr>
                <w:sz w:val="24"/>
                <w:szCs w:val="24"/>
              </w:rPr>
              <w:t>ДКА України</w:t>
            </w:r>
          </w:p>
        </w:tc>
      </w:tr>
      <w:tr w:rsidR="009B3B49" w:rsidRPr="009B3B49" w:rsidTr="007B35ED">
        <w:tc>
          <w:tcPr>
            <w:tcW w:w="568" w:type="dxa"/>
          </w:tcPr>
          <w:p w:rsidR="008C4D2E" w:rsidRPr="009B3B49" w:rsidRDefault="007A4D3E" w:rsidP="000D1E8A">
            <w:pPr>
              <w:jc w:val="both"/>
              <w:rPr>
                <w:sz w:val="24"/>
                <w:szCs w:val="24"/>
              </w:rPr>
            </w:pPr>
            <w:r>
              <w:rPr>
                <w:sz w:val="24"/>
                <w:szCs w:val="24"/>
              </w:rPr>
              <w:t>3</w:t>
            </w:r>
          </w:p>
        </w:tc>
        <w:tc>
          <w:tcPr>
            <w:tcW w:w="2552" w:type="dxa"/>
          </w:tcPr>
          <w:p w:rsidR="008C4D2E" w:rsidRPr="009B3B49" w:rsidRDefault="006C0FD5" w:rsidP="000D1E8A">
            <w:pPr>
              <w:jc w:val="both"/>
              <w:rPr>
                <w:sz w:val="24"/>
                <w:szCs w:val="24"/>
              </w:rPr>
            </w:pPr>
            <w:r w:rsidRPr="009B3B49">
              <w:rPr>
                <w:sz w:val="24"/>
                <w:szCs w:val="24"/>
              </w:rPr>
              <w:t>Про</w:t>
            </w:r>
            <w:r w:rsidR="00F908D8">
              <w:rPr>
                <w:sz w:val="24"/>
                <w:szCs w:val="24"/>
              </w:rPr>
              <w:t>є</w:t>
            </w:r>
            <w:r w:rsidRPr="009B3B49">
              <w:rPr>
                <w:sz w:val="24"/>
                <w:szCs w:val="24"/>
              </w:rPr>
              <w:t xml:space="preserve">кт </w:t>
            </w:r>
            <w:r w:rsidR="00072937" w:rsidRPr="009B3B49">
              <w:rPr>
                <w:sz w:val="24"/>
                <w:szCs w:val="24"/>
              </w:rPr>
              <w:t>З</w:t>
            </w:r>
            <w:r w:rsidR="008C4D2E" w:rsidRPr="009B3B49">
              <w:rPr>
                <w:sz w:val="24"/>
                <w:szCs w:val="24"/>
              </w:rPr>
              <w:t>акон</w:t>
            </w:r>
            <w:r w:rsidRPr="009B3B49">
              <w:rPr>
                <w:sz w:val="24"/>
                <w:szCs w:val="24"/>
              </w:rPr>
              <w:t>у «П</w:t>
            </w:r>
            <w:r w:rsidR="008C4D2E" w:rsidRPr="009B3B49">
              <w:rPr>
                <w:sz w:val="24"/>
                <w:szCs w:val="24"/>
              </w:rPr>
              <w:t>ро державне регулювання у сфері дистанційного зондування Землі</w:t>
            </w:r>
            <w:r w:rsidRPr="009B3B49">
              <w:rPr>
                <w:sz w:val="24"/>
                <w:szCs w:val="24"/>
              </w:rPr>
              <w:t>»</w:t>
            </w:r>
          </w:p>
          <w:p w:rsidR="007F6756" w:rsidRPr="009B3B49" w:rsidRDefault="007F6756" w:rsidP="000D1E8A">
            <w:pPr>
              <w:jc w:val="both"/>
              <w:rPr>
                <w:sz w:val="24"/>
                <w:szCs w:val="24"/>
              </w:rPr>
            </w:pPr>
          </w:p>
          <w:p w:rsidR="007F6756" w:rsidRPr="009B3B49" w:rsidRDefault="007F6756" w:rsidP="00072937">
            <w:pPr>
              <w:jc w:val="both"/>
              <w:rPr>
                <w:sz w:val="24"/>
                <w:szCs w:val="24"/>
              </w:rPr>
            </w:pPr>
          </w:p>
        </w:tc>
        <w:tc>
          <w:tcPr>
            <w:tcW w:w="2835" w:type="dxa"/>
          </w:tcPr>
          <w:p w:rsidR="008C4D2E" w:rsidRPr="00FE4A42" w:rsidRDefault="00FE4A42" w:rsidP="000D1E8A">
            <w:pPr>
              <w:jc w:val="both"/>
              <w:rPr>
                <w:sz w:val="24"/>
                <w:szCs w:val="24"/>
              </w:rPr>
            </w:pPr>
            <w:r w:rsidRPr="00FE4A42">
              <w:rPr>
                <w:sz w:val="24"/>
                <w:szCs w:val="24"/>
              </w:rPr>
              <w:t>Встановлення правових та організаційних засад і принципів державного регулювання у сфері дистанційного зондування Землі з космосу, визначення прав, обов'язків і відповідальності учасників правовідносин, що виникають у сфері виробництва, обігу, використання та зберігання даних дистанційного зондування Землі з космосу</w:t>
            </w:r>
          </w:p>
        </w:tc>
        <w:tc>
          <w:tcPr>
            <w:tcW w:w="1418" w:type="dxa"/>
          </w:tcPr>
          <w:p w:rsidR="008C4D2E" w:rsidRPr="009B3B49" w:rsidRDefault="007A4D3E" w:rsidP="000D1E8A">
            <w:pPr>
              <w:jc w:val="both"/>
              <w:rPr>
                <w:sz w:val="24"/>
                <w:szCs w:val="24"/>
              </w:rPr>
            </w:pPr>
            <w:r w:rsidRPr="007A4D3E">
              <w:rPr>
                <w:sz w:val="24"/>
                <w:szCs w:val="24"/>
              </w:rPr>
              <w:t>Вересень</w:t>
            </w:r>
          </w:p>
        </w:tc>
        <w:tc>
          <w:tcPr>
            <w:tcW w:w="4110" w:type="dxa"/>
          </w:tcPr>
          <w:p w:rsidR="008C4D2E" w:rsidRPr="009B3B49" w:rsidRDefault="007851B7" w:rsidP="007851B7">
            <w:pPr>
              <w:jc w:val="both"/>
              <w:rPr>
                <w:sz w:val="24"/>
                <w:szCs w:val="24"/>
              </w:rPr>
            </w:pPr>
            <w:r>
              <w:rPr>
                <w:sz w:val="24"/>
                <w:szCs w:val="24"/>
              </w:rPr>
              <w:t>В</w:t>
            </w:r>
            <w:r w:rsidR="008C4D2E" w:rsidRPr="009B3B49">
              <w:rPr>
                <w:sz w:val="24"/>
                <w:szCs w:val="24"/>
              </w:rPr>
              <w:t>становлення правових, економічних та організаційних засад і принципів державного регулювання у сфері дистанційного зондування Землі, визначення прав, обов’язків і відповідальності учасників правовідносин, що виникають у сфері виробництва, обігу, використання та зберігання даних дистанційного зондування Землі з космосу</w:t>
            </w:r>
          </w:p>
        </w:tc>
        <w:tc>
          <w:tcPr>
            <w:tcW w:w="3119" w:type="dxa"/>
          </w:tcPr>
          <w:p w:rsidR="008C4D2E" w:rsidRPr="009B3B49" w:rsidRDefault="008C4D2E" w:rsidP="000D1E8A">
            <w:pPr>
              <w:jc w:val="both"/>
              <w:rPr>
                <w:sz w:val="24"/>
                <w:szCs w:val="24"/>
              </w:rPr>
            </w:pPr>
            <w:r w:rsidRPr="009B3B49">
              <w:rPr>
                <w:sz w:val="24"/>
                <w:szCs w:val="24"/>
              </w:rPr>
              <w:t>Департамент формування політики авіаційної та космічної галуз</w:t>
            </w:r>
            <w:r w:rsidR="0028452F">
              <w:rPr>
                <w:sz w:val="24"/>
                <w:szCs w:val="24"/>
              </w:rPr>
              <w:t>ей</w:t>
            </w:r>
          </w:p>
          <w:p w:rsidR="007F6756" w:rsidRPr="009B3B49" w:rsidRDefault="007F6756" w:rsidP="000D1E8A">
            <w:pPr>
              <w:jc w:val="both"/>
              <w:rPr>
                <w:sz w:val="24"/>
                <w:szCs w:val="24"/>
              </w:rPr>
            </w:pPr>
          </w:p>
          <w:p w:rsidR="007F6756" w:rsidRPr="009B3B49" w:rsidRDefault="007F6756" w:rsidP="000D1E8A">
            <w:pPr>
              <w:jc w:val="both"/>
              <w:rPr>
                <w:sz w:val="24"/>
                <w:szCs w:val="24"/>
              </w:rPr>
            </w:pPr>
            <w:r w:rsidRPr="009B3B49">
              <w:rPr>
                <w:sz w:val="24"/>
                <w:szCs w:val="24"/>
              </w:rPr>
              <w:t>ДКА України</w:t>
            </w:r>
          </w:p>
        </w:tc>
      </w:tr>
      <w:tr w:rsidR="007851B7" w:rsidRPr="007851B7" w:rsidTr="007B35ED">
        <w:tc>
          <w:tcPr>
            <w:tcW w:w="568" w:type="dxa"/>
          </w:tcPr>
          <w:p w:rsidR="008C4D2E" w:rsidRPr="007851B7" w:rsidRDefault="007A4D3E" w:rsidP="000D1E8A">
            <w:pPr>
              <w:jc w:val="both"/>
              <w:rPr>
                <w:color w:val="000000" w:themeColor="text1"/>
                <w:sz w:val="24"/>
                <w:szCs w:val="24"/>
              </w:rPr>
            </w:pPr>
            <w:r w:rsidRPr="007851B7">
              <w:rPr>
                <w:color w:val="000000" w:themeColor="text1"/>
                <w:sz w:val="24"/>
                <w:szCs w:val="24"/>
              </w:rPr>
              <w:t>4</w:t>
            </w:r>
          </w:p>
        </w:tc>
        <w:tc>
          <w:tcPr>
            <w:tcW w:w="2552" w:type="dxa"/>
          </w:tcPr>
          <w:p w:rsidR="008C4D2E" w:rsidRPr="007851B7" w:rsidRDefault="00072937" w:rsidP="007851B7">
            <w:pPr>
              <w:jc w:val="both"/>
              <w:rPr>
                <w:i/>
                <w:color w:val="000000" w:themeColor="text1"/>
                <w:sz w:val="24"/>
                <w:szCs w:val="24"/>
              </w:rPr>
            </w:pPr>
            <w:r w:rsidRPr="007851B7">
              <w:rPr>
                <w:color w:val="000000" w:themeColor="text1"/>
                <w:sz w:val="24"/>
                <w:szCs w:val="24"/>
              </w:rPr>
              <w:t>П</w:t>
            </w:r>
            <w:r w:rsidR="008C4D2E" w:rsidRPr="007851B7">
              <w:rPr>
                <w:color w:val="000000" w:themeColor="text1"/>
                <w:sz w:val="24"/>
                <w:szCs w:val="24"/>
              </w:rPr>
              <w:t>ро</w:t>
            </w:r>
            <w:r w:rsidR="00F908D8" w:rsidRPr="007851B7">
              <w:rPr>
                <w:color w:val="000000" w:themeColor="text1"/>
                <w:sz w:val="24"/>
                <w:szCs w:val="24"/>
              </w:rPr>
              <w:t>є</w:t>
            </w:r>
            <w:r w:rsidR="008C4D2E" w:rsidRPr="007851B7">
              <w:rPr>
                <w:color w:val="000000" w:themeColor="text1"/>
                <w:sz w:val="24"/>
                <w:szCs w:val="24"/>
              </w:rPr>
              <w:t>кт</w:t>
            </w:r>
            <w:r w:rsidRPr="007851B7">
              <w:rPr>
                <w:color w:val="000000" w:themeColor="text1"/>
                <w:sz w:val="24"/>
                <w:szCs w:val="24"/>
              </w:rPr>
              <w:t xml:space="preserve"> </w:t>
            </w:r>
            <w:r w:rsidR="008C4D2E" w:rsidRPr="007851B7">
              <w:rPr>
                <w:color w:val="000000" w:themeColor="text1"/>
                <w:sz w:val="24"/>
                <w:szCs w:val="24"/>
              </w:rPr>
              <w:t xml:space="preserve">постанови </w:t>
            </w:r>
            <w:r w:rsidR="006C0FD5" w:rsidRPr="007851B7">
              <w:rPr>
                <w:color w:val="000000" w:themeColor="text1"/>
                <w:sz w:val="24"/>
                <w:szCs w:val="24"/>
              </w:rPr>
              <w:t xml:space="preserve">Кабінету Міністрів України «Про </w:t>
            </w:r>
            <w:r w:rsidR="008C4D2E" w:rsidRPr="007851B7">
              <w:rPr>
                <w:color w:val="000000" w:themeColor="text1"/>
                <w:sz w:val="24"/>
                <w:szCs w:val="24"/>
              </w:rPr>
              <w:t xml:space="preserve">внесення змін до Програми утилізації </w:t>
            </w:r>
            <w:r w:rsidR="008C4D2E" w:rsidRPr="007851B7">
              <w:rPr>
                <w:color w:val="000000" w:themeColor="text1"/>
                <w:sz w:val="24"/>
                <w:szCs w:val="24"/>
              </w:rPr>
              <w:lastRenderedPageBreak/>
              <w:t>твердого ракетного палива міжконтинентальних балістичних ракет РС-22</w:t>
            </w:r>
            <w:r w:rsidR="006C0FD5" w:rsidRPr="007851B7">
              <w:rPr>
                <w:color w:val="000000" w:themeColor="text1"/>
                <w:sz w:val="24"/>
                <w:szCs w:val="24"/>
              </w:rPr>
              <w:t>»</w:t>
            </w:r>
          </w:p>
        </w:tc>
        <w:tc>
          <w:tcPr>
            <w:tcW w:w="2835" w:type="dxa"/>
          </w:tcPr>
          <w:p w:rsidR="008C4D2E" w:rsidRPr="007851B7" w:rsidRDefault="00E922B8" w:rsidP="000D1E8A">
            <w:pPr>
              <w:jc w:val="both"/>
              <w:rPr>
                <w:color w:val="000000" w:themeColor="text1"/>
                <w:sz w:val="24"/>
                <w:szCs w:val="24"/>
              </w:rPr>
            </w:pPr>
            <w:r w:rsidRPr="007851B7">
              <w:rPr>
                <w:color w:val="000000" w:themeColor="text1"/>
                <w:sz w:val="24"/>
                <w:szCs w:val="24"/>
              </w:rPr>
              <w:lastRenderedPageBreak/>
              <w:t xml:space="preserve">Необхідність продовження терміну дії Програми утилізації твердого ракетного палива </w:t>
            </w:r>
            <w:r w:rsidRPr="007851B7">
              <w:rPr>
                <w:color w:val="000000" w:themeColor="text1"/>
                <w:sz w:val="24"/>
                <w:szCs w:val="24"/>
              </w:rPr>
              <w:lastRenderedPageBreak/>
              <w:t>міжконтинентальних балістичних ракет РС-22</w:t>
            </w:r>
          </w:p>
        </w:tc>
        <w:tc>
          <w:tcPr>
            <w:tcW w:w="1418" w:type="dxa"/>
          </w:tcPr>
          <w:p w:rsidR="008C4D2E" w:rsidRPr="007851B7" w:rsidRDefault="000D1E8A" w:rsidP="000D1E8A">
            <w:pPr>
              <w:jc w:val="both"/>
              <w:rPr>
                <w:color w:val="000000" w:themeColor="text1"/>
                <w:sz w:val="24"/>
                <w:szCs w:val="24"/>
              </w:rPr>
            </w:pPr>
            <w:r w:rsidRPr="007851B7">
              <w:rPr>
                <w:color w:val="000000" w:themeColor="text1"/>
                <w:sz w:val="24"/>
                <w:szCs w:val="24"/>
              </w:rPr>
              <w:lastRenderedPageBreak/>
              <w:t>К</w:t>
            </w:r>
            <w:r w:rsidR="008C4D2E" w:rsidRPr="007851B7">
              <w:rPr>
                <w:color w:val="000000" w:themeColor="text1"/>
                <w:sz w:val="24"/>
                <w:szCs w:val="24"/>
              </w:rPr>
              <w:t>вітень</w:t>
            </w:r>
          </w:p>
        </w:tc>
        <w:tc>
          <w:tcPr>
            <w:tcW w:w="4110" w:type="dxa"/>
          </w:tcPr>
          <w:p w:rsidR="008C4D2E" w:rsidRPr="007851B7" w:rsidRDefault="007851B7" w:rsidP="007851B7">
            <w:pPr>
              <w:spacing w:line="228" w:lineRule="auto"/>
              <w:jc w:val="both"/>
              <w:rPr>
                <w:color w:val="000000" w:themeColor="text1"/>
                <w:sz w:val="24"/>
                <w:szCs w:val="24"/>
              </w:rPr>
            </w:pPr>
            <w:r>
              <w:rPr>
                <w:color w:val="000000" w:themeColor="text1"/>
                <w:sz w:val="24"/>
                <w:szCs w:val="24"/>
              </w:rPr>
              <w:t>П</w:t>
            </w:r>
            <w:r w:rsidR="008C4D2E" w:rsidRPr="007851B7">
              <w:rPr>
                <w:color w:val="000000" w:themeColor="text1"/>
                <w:sz w:val="24"/>
                <w:szCs w:val="24"/>
              </w:rPr>
              <w:t>родовження терміну дії Програми, її фінансування та забезпечення утилізації 1802,3  тонн твердого ракетного палива, яке зберігається на державному підприємстві «Науково-</w:t>
            </w:r>
            <w:r w:rsidR="008C4D2E" w:rsidRPr="007851B7">
              <w:rPr>
                <w:color w:val="000000" w:themeColor="text1"/>
                <w:sz w:val="24"/>
                <w:szCs w:val="24"/>
              </w:rPr>
              <w:lastRenderedPageBreak/>
              <w:t>виробниче об’єднання «Павлоградський хімічний завод»</w:t>
            </w:r>
          </w:p>
        </w:tc>
        <w:tc>
          <w:tcPr>
            <w:tcW w:w="3119" w:type="dxa"/>
          </w:tcPr>
          <w:p w:rsidR="008C4D2E" w:rsidRPr="007851B7" w:rsidRDefault="008C4D2E" w:rsidP="000D1E8A">
            <w:pPr>
              <w:jc w:val="both"/>
              <w:rPr>
                <w:color w:val="000000" w:themeColor="text1"/>
                <w:sz w:val="24"/>
                <w:szCs w:val="24"/>
              </w:rPr>
            </w:pPr>
            <w:r w:rsidRPr="007851B7">
              <w:rPr>
                <w:color w:val="000000" w:themeColor="text1"/>
                <w:sz w:val="24"/>
                <w:szCs w:val="24"/>
              </w:rPr>
              <w:lastRenderedPageBreak/>
              <w:t>Департамент стратегії реформування ОПК</w:t>
            </w:r>
          </w:p>
          <w:p w:rsidR="00E922B8" w:rsidRPr="007851B7" w:rsidRDefault="00E922B8" w:rsidP="000D1E8A">
            <w:pPr>
              <w:jc w:val="both"/>
              <w:rPr>
                <w:color w:val="000000" w:themeColor="text1"/>
                <w:sz w:val="24"/>
                <w:szCs w:val="24"/>
              </w:rPr>
            </w:pPr>
          </w:p>
          <w:p w:rsidR="00E922B8" w:rsidRPr="007851B7" w:rsidRDefault="00E922B8" w:rsidP="000D1E8A">
            <w:pPr>
              <w:jc w:val="both"/>
              <w:rPr>
                <w:color w:val="000000" w:themeColor="text1"/>
                <w:sz w:val="24"/>
                <w:szCs w:val="24"/>
              </w:rPr>
            </w:pPr>
          </w:p>
        </w:tc>
      </w:tr>
      <w:tr w:rsidR="009B3B49" w:rsidRPr="009B3B49" w:rsidTr="007B35ED">
        <w:tc>
          <w:tcPr>
            <w:tcW w:w="568" w:type="dxa"/>
          </w:tcPr>
          <w:p w:rsidR="008C4D2E" w:rsidRPr="009B3B49" w:rsidRDefault="002803A2" w:rsidP="000D1E8A">
            <w:pPr>
              <w:jc w:val="both"/>
              <w:rPr>
                <w:sz w:val="24"/>
                <w:szCs w:val="24"/>
              </w:rPr>
            </w:pPr>
            <w:r>
              <w:rPr>
                <w:sz w:val="24"/>
                <w:szCs w:val="24"/>
              </w:rPr>
              <w:t>5</w:t>
            </w:r>
          </w:p>
        </w:tc>
        <w:tc>
          <w:tcPr>
            <w:tcW w:w="2552" w:type="dxa"/>
          </w:tcPr>
          <w:p w:rsidR="00117F7E" w:rsidRPr="00A3065D" w:rsidRDefault="006C0FD5" w:rsidP="000D1E8A">
            <w:pPr>
              <w:jc w:val="both"/>
              <w:rPr>
                <w:sz w:val="24"/>
                <w:szCs w:val="24"/>
              </w:rPr>
            </w:pPr>
            <w:r w:rsidRPr="00A3065D">
              <w:rPr>
                <w:sz w:val="24"/>
                <w:szCs w:val="24"/>
              </w:rPr>
              <w:t>Про</w:t>
            </w:r>
            <w:r w:rsidR="00F908D8" w:rsidRPr="00A3065D">
              <w:rPr>
                <w:sz w:val="24"/>
                <w:szCs w:val="24"/>
              </w:rPr>
              <w:t>є</w:t>
            </w:r>
            <w:r w:rsidRPr="00A3065D">
              <w:rPr>
                <w:sz w:val="24"/>
                <w:szCs w:val="24"/>
              </w:rPr>
              <w:t>кт Закону «</w:t>
            </w:r>
            <w:r w:rsidR="00A3065D" w:rsidRPr="00A3065D">
              <w:rPr>
                <w:sz w:val="24"/>
                <w:szCs w:val="24"/>
              </w:rPr>
              <w:t>Про внесення змін до деяких законів України (щодо стабілізації фінансового стану суб’єктів космічної діяльності)</w:t>
            </w:r>
            <w:r w:rsidRPr="00A3065D">
              <w:rPr>
                <w:sz w:val="24"/>
                <w:szCs w:val="24"/>
              </w:rPr>
              <w:t>»</w:t>
            </w:r>
          </w:p>
          <w:p w:rsidR="00117F7E" w:rsidRPr="00A3065D" w:rsidRDefault="00117F7E" w:rsidP="000D1E8A">
            <w:pPr>
              <w:jc w:val="both"/>
              <w:rPr>
                <w:sz w:val="24"/>
                <w:szCs w:val="24"/>
              </w:rPr>
            </w:pPr>
          </w:p>
          <w:p w:rsidR="008C4D2E" w:rsidRPr="00A3065D" w:rsidRDefault="008C4D2E" w:rsidP="00072937">
            <w:pPr>
              <w:jc w:val="both"/>
              <w:rPr>
                <w:sz w:val="24"/>
                <w:szCs w:val="24"/>
              </w:rPr>
            </w:pPr>
          </w:p>
        </w:tc>
        <w:tc>
          <w:tcPr>
            <w:tcW w:w="2835" w:type="dxa"/>
          </w:tcPr>
          <w:p w:rsidR="008C4D2E" w:rsidRPr="009B3B49" w:rsidRDefault="00896C74" w:rsidP="007851B7">
            <w:pPr>
              <w:jc w:val="both"/>
              <w:rPr>
                <w:sz w:val="24"/>
                <w:szCs w:val="24"/>
              </w:rPr>
            </w:pPr>
            <w:r w:rsidRPr="00896C74">
              <w:rPr>
                <w:sz w:val="24"/>
                <w:szCs w:val="24"/>
              </w:rPr>
              <w:t>Необхідність на законодавчому рівні врегулювати питання господарських відносин між суб’єктами космічної діяльності та органами державної влади у сфері управління об’єктами державної власності та державної підтримки космічної діяльності шляхом зменшення податкових на</w:t>
            </w:r>
            <w:r w:rsidR="007851B7">
              <w:rPr>
                <w:sz w:val="24"/>
                <w:szCs w:val="24"/>
              </w:rPr>
              <w:t>вантажень та встановлення пільг</w:t>
            </w:r>
          </w:p>
        </w:tc>
        <w:tc>
          <w:tcPr>
            <w:tcW w:w="1418" w:type="dxa"/>
          </w:tcPr>
          <w:p w:rsidR="008C4D2E" w:rsidRPr="009B3B49" w:rsidRDefault="00896C74" w:rsidP="000D1E8A">
            <w:pPr>
              <w:jc w:val="both"/>
              <w:rPr>
                <w:sz w:val="24"/>
                <w:szCs w:val="24"/>
              </w:rPr>
            </w:pPr>
            <w:r>
              <w:rPr>
                <w:sz w:val="24"/>
                <w:szCs w:val="24"/>
              </w:rPr>
              <w:t>Грудень</w:t>
            </w:r>
          </w:p>
        </w:tc>
        <w:tc>
          <w:tcPr>
            <w:tcW w:w="4110" w:type="dxa"/>
          </w:tcPr>
          <w:p w:rsidR="008C4D2E" w:rsidRPr="00896C74" w:rsidRDefault="007851B7" w:rsidP="007851B7">
            <w:pPr>
              <w:jc w:val="both"/>
              <w:rPr>
                <w:sz w:val="24"/>
                <w:szCs w:val="24"/>
              </w:rPr>
            </w:pPr>
            <w:r>
              <w:rPr>
                <w:sz w:val="24"/>
                <w:szCs w:val="24"/>
              </w:rPr>
              <w:t>П</w:t>
            </w:r>
            <w:r w:rsidR="00896C74" w:rsidRPr="00896C74">
              <w:rPr>
                <w:sz w:val="24"/>
                <w:szCs w:val="24"/>
              </w:rPr>
              <w:t>окращення умов ведення господарської діяльності в Україні суб’єктів космічної діяльності та літакобудування з одночасним створенням умов для збереження та нарощування експортного потенціалу підприємств, а також космічної галузі в цілому, збільшення обсягів виробництва та експорту продукції з середнім та високим рівнем переробки та доданої вартості, збереження існуючих та створення нових робочих місць, збільшення рентабельності активів державних підприємств</w:t>
            </w:r>
          </w:p>
        </w:tc>
        <w:tc>
          <w:tcPr>
            <w:tcW w:w="3119" w:type="dxa"/>
          </w:tcPr>
          <w:p w:rsidR="00DC0264" w:rsidRDefault="00DC0264" w:rsidP="000D1E8A">
            <w:pPr>
              <w:jc w:val="both"/>
              <w:rPr>
                <w:sz w:val="24"/>
                <w:szCs w:val="24"/>
              </w:rPr>
            </w:pPr>
            <w:r w:rsidRPr="009B3B49">
              <w:rPr>
                <w:sz w:val="24"/>
                <w:szCs w:val="24"/>
              </w:rPr>
              <w:t>Департамент формування політики авіаційної та космічної галуз</w:t>
            </w:r>
            <w:r w:rsidR="0028452F">
              <w:rPr>
                <w:sz w:val="24"/>
                <w:szCs w:val="24"/>
              </w:rPr>
              <w:t>ей</w:t>
            </w:r>
          </w:p>
          <w:p w:rsidR="00DC0264" w:rsidRDefault="00DC0264" w:rsidP="000D1E8A">
            <w:pPr>
              <w:jc w:val="both"/>
              <w:rPr>
                <w:sz w:val="24"/>
                <w:szCs w:val="24"/>
              </w:rPr>
            </w:pPr>
          </w:p>
          <w:p w:rsidR="006D252E" w:rsidRPr="009B3B49" w:rsidRDefault="006D252E" w:rsidP="000D1E8A">
            <w:pPr>
              <w:jc w:val="both"/>
              <w:rPr>
                <w:sz w:val="24"/>
                <w:szCs w:val="24"/>
              </w:rPr>
            </w:pPr>
            <w:r w:rsidRPr="009B3B49">
              <w:rPr>
                <w:sz w:val="24"/>
                <w:szCs w:val="24"/>
              </w:rPr>
              <w:t>Департамент економіки та фінансів</w:t>
            </w:r>
          </w:p>
          <w:p w:rsidR="009F5420" w:rsidRPr="009B3B49" w:rsidRDefault="009F5420" w:rsidP="000D1E8A">
            <w:pPr>
              <w:jc w:val="both"/>
              <w:rPr>
                <w:sz w:val="24"/>
                <w:szCs w:val="24"/>
              </w:rPr>
            </w:pPr>
          </w:p>
          <w:p w:rsidR="00117F7E" w:rsidRPr="009B3B49" w:rsidRDefault="006F00B6" w:rsidP="000D1E8A">
            <w:pPr>
              <w:jc w:val="both"/>
              <w:rPr>
                <w:sz w:val="24"/>
                <w:szCs w:val="24"/>
              </w:rPr>
            </w:pPr>
            <w:r>
              <w:rPr>
                <w:sz w:val="24"/>
                <w:szCs w:val="24"/>
              </w:rPr>
              <w:t>ДКА України</w:t>
            </w:r>
          </w:p>
          <w:p w:rsidR="00117F7E" w:rsidRPr="009B3B49" w:rsidRDefault="00117F7E" w:rsidP="000D1E8A">
            <w:pPr>
              <w:jc w:val="both"/>
              <w:rPr>
                <w:sz w:val="24"/>
                <w:szCs w:val="24"/>
              </w:rPr>
            </w:pPr>
          </w:p>
        </w:tc>
      </w:tr>
      <w:tr w:rsidR="009B3B49" w:rsidRPr="009B3B49" w:rsidTr="007B35ED">
        <w:tc>
          <w:tcPr>
            <w:tcW w:w="568" w:type="dxa"/>
          </w:tcPr>
          <w:p w:rsidR="002773CC" w:rsidRPr="009B3B49" w:rsidRDefault="002803A2" w:rsidP="000D1E8A">
            <w:pPr>
              <w:jc w:val="both"/>
              <w:rPr>
                <w:sz w:val="24"/>
                <w:szCs w:val="24"/>
              </w:rPr>
            </w:pPr>
            <w:r>
              <w:rPr>
                <w:sz w:val="24"/>
                <w:szCs w:val="24"/>
              </w:rPr>
              <w:t>6</w:t>
            </w:r>
          </w:p>
        </w:tc>
        <w:tc>
          <w:tcPr>
            <w:tcW w:w="2552" w:type="dxa"/>
          </w:tcPr>
          <w:p w:rsidR="002773CC" w:rsidRPr="009B3B49" w:rsidRDefault="002773CC" w:rsidP="002773CC">
            <w:pPr>
              <w:jc w:val="both"/>
              <w:rPr>
                <w:sz w:val="24"/>
                <w:szCs w:val="24"/>
              </w:rPr>
            </w:pPr>
            <w:r w:rsidRPr="009B3B49">
              <w:rPr>
                <w:sz w:val="24"/>
                <w:szCs w:val="24"/>
              </w:rPr>
              <w:t xml:space="preserve">Проєкт Закону </w:t>
            </w:r>
            <w:r w:rsidRPr="0051502E">
              <w:rPr>
                <w:sz w:val="24"/>
                <w:szCs w:val="24"/>
              </w:rPr>
              <w:t>«</w:t>
            </w:r>
            <w:r w:rsidR="0051502E" w:rsidRPr="0051502E">
              <w:rPr>
                <w:sz w:val="24"/>
                <w:szCs w:val="24"/>
              </w:rPr>
              <w:t>Про внесення змін до деяких законів України щодо часткової компенсації закупівлі засобів міського та приміського громадського транспорту</w:t>
            </w:r>
            <w:r w:rsidRPr="0051502E">
              <w:rPr>
                <w:sz w:val="24"/>
                <w:szCs w:val="24"/>
              </w:rPr>
              <w:t>»</w:t>
            </w:r>
          </w:p>
        </w:tc>
        <w:tc>
          <w:tcPr>
            <w:tcW w:w="2835" w:type="dxa"/>
          </w:tcPr>
          <w:p w:rsidR="002773CC" w:rsidRPr="009B3B49" w:rsidRDefault="0093274C" w:rsidP="007851B7">
            <w:pPr>
              <w:pStyle w:val="ad"/>
              <w:shd w:val="clear" w:color="auto" w:fill="FFFFFF"/>
              <w:spacing w:before="0" w:beforeAutospacing="0" w:after="120" w:afterAutospacing="0"/>
              <w:jc w:val="both"/>
            </w:pPr>
            <w:r w:rsidRPr="009B3B49">
              <w:t xml:space="preserve">На законодавчому рівні врегулювати питання щодо </w:t>
            </w:r>
            <w:r w:rsidR="0000369D" w:rsidRPr="0000369D">
              <w:rPr>
                <w:color w:val="000000"/>
              </w:rPr>
              <w:t>удосконалення функціонування системи державної підтримки виробництва засобів міського та приміського громадського транспорту</w:t>
            </w:r>
          </w:p>
        </w:tc>
        <w:tc>
          <w:tcPr>
            <w:tcW w:w="1418" w:type="dxa"/>
          </w:tcPr>
          <w:p w:rsidR="002773CC" w:rsidRPr="009B3B49" w:rsidRDefault="005A4374" w:rsidP="000D1E8A">
            <w:pPr>
              <w:jc w:val="both"/>
              <w:rPr>
                <w:sz w:val="24"/>
                <w:szCs w:val="24"/>
              </w:rPr>
            </w:pPr>
            <w:r>
              <w:rPr>
                <w:sz w:val="24"/>
                <w:szCs w:val="24"/>
              </w:rPr>
              <w:t>Грудень</w:t>
            </w:r>
          </w:p>
        </w:tc>
        <w:tc>
          <w:tcPr>
            <w:tcW w:w="4110" w:type="dxa"/>
          </w:tcPr>
          <w:p w:rsidR="002773CC" w:rsidRPr="004A56F2" w:rsidRDefault="004A56F2" w:rsidP="007851B7">
            <w:pPr>
              <w:widowControl w:val="0"/>
              <w:tabs>
                <w:tab w:val="left" w:pos="576"/>
              </w:tabs>
              <w:spacing w:line="228" w:lineRule="auto"/>
              <w:jc w:val="both"/>
              <w:rPr>
                <w:sz w:val="24"/>
                <w:szCs w:val="24"/>
              </w:rPr>
            </w:pPr>
            <w:r w:rsidRPr="004A56F2">
              <w:rPr>
                <w:sz w:val="24"/>
                <w:szCs w:val="24"/>
              </w:rPr>
              <w:t>розбудова державної політики у сфері вітчизняної промисловості, направленої на розвиток міського та приміського громадського транспорту, забезпечення потреб громадян у доступних, якісних і безпечних перевезеннях, і як результат – підвищення попиту на засоби громадянського транспорту.</w:t>
            </w:r>
          </w:p>
        </w:tc>
        <w:tc>
          <w:tcPr>
            <w:tcW w:w="3119" w:type="dxa"/>
          </w:tcPr>
          <w:p w:rsidR="002773CC" w:rsidRPr="009B3B49" w:rsidRDefault="0051502E" w:rsidP="000D1E8A">
            <w:pPr>
              <w:jc w:val="both"/>
              <w:rPr>
                <w:sz w:val="24"/>
                <w:szCs w:val="24"/>
              </w:rPr>
            </w:pPr>
            <w:r>
              <w:rPr>
                <w:iCs/>
                <w:sz w:val="24"/>
                <w:szCs w:val="24"/>
              </w:rPr>
              <w:t>Департамент з питань промисловості</w:t>
            </w:r>
          </w:p>
        </w:tc>
      </w:tr>
      <w:tr w:rsidR="009B3B49" w:rsidRPr="009B3B49" w:rsidTr="007B35ED">
        <w:trPr>
          <w:trHeight w:val="487"/>
        </w:trPr>
        <w:tc>
          <w:tcPr>
            <w:tcW w:w="568" w:type="dxa"/>
          </w:tcPr>
          <w:p w:rsidR="00CD2DF7" w:rsidRPr="009B3B49" w:rsidRDefault="007457B5" w:rsidP="009A5E20">
            <w:pPr>
              <w:jc w:val="both"/>
              <w:rPr>
                <w:sz w:val="24"/>
                <w:szCs w:val="24"/>
              </w:rPr>
            </w:pPr>
            <w:r>
              <w:rPr>
                <w:sz w:val="24"/>
                <w:szCs w:val="24"/>
              </w:rPr>
              <w:t>7</w:t>
            </w:r>
          </w:p>
        </w:tc>
        <w:tc>
          <w:tcPr>
            <w:tcW w:w="2552" w:type="dxa"/>
          </w:tcPr>
          <w:p w:rsidR="00CD2DF7" w:rsidRPr="009B3B49" w:rsidRDefault="00CD2DF7" w:rsidP="000D1E8A">
            <w:pPr>
              <w:jc w:val="both"/>
              <w:rPr>
                <w:sz w:val="24"/>
                <w:szCs w:val="24"/>
              </w:rPr>
            </w:pPr>
            <w:r w:rsidRPr="009B3B49">
              <w:rPr>
                <w:iCs/>
                <w:sz w:val="24"/>
                <w:szCs w:val="24"/>
              </w:rPr>
              <w:t xml:space="preserve">Наказ Мінстратегпрому «Про затвердження </w:t>
            </w:r>
            <w:r w:rsidRPr="009B3B49">
              <w:rPr>
                <w:iCs/>
                <w:sz w:val="24"/>
                <w:szCs w:val="24"/>
              </w:rPr>
              <w:lastRenderedPageBreak/>
              <w:t>переліку технічних засобів телекомунікацій, споруд електрозв’язку або їх частин, іншого телекомунікаційного обладнання, які можуть здаватися на брухт виключн</w:t>
            </w:r>
            <w:r w:rsidR="00C62C9B" w:rsidRPr="009B3B49">
              <w:rPr>
                <w:iCs/>
                <w:sz w:val="24"/>
                <w:szCs w:val="24"/>
              </w:rPr>
              <w:t>о від суб’єктів господарювання»</w:t>
            </w:r>
          </w:p>
        </w:tc>
        <w:tc>
          <w:tcPr>
            <w:tcW w:w="2835" w:type="dxa"/>
          </w:tcPr>
          <w:p w:rsidR="00CD2DF7" w:rsidRPr="009B3B49" w:rsidRDefault="00CD2DF7" w:rsidP="000D1E8A">
            <w:pPr>
              <w:jc w:val="both"/>
              <w:rPr>
                <w:sz w:val="24"/>
                <w:szCs w:val="24"/>
              </w:rPr>
            </w:pPr>
            <w:r w:rsidRPr="009B3B49">
              <w:rPr>
                <w:iCs/>
                <w:sz w:val="24"/>
                <w:szCs w:val="24"/>
              </w:rPr>
              <w:lastRenderedPageBreak/>
              <w:t xml:space="preserve">Реалізація Закону України від 14.07.2020 № 776-ІX «Про внесення </w:t>
            </w:r>
            <w:r w:rsidRPr="009B3B49">
              <w:rPr>
                <w:iCs/>
                <w:sz w:val="24"/>
                <w:szCs w:val="24"/>
              </w:rPr>
              <w:lastRenderedPageBreak/>
              <w:t>змін до деяких законодавчих актів України щодо детінізації ринку металургійної сировини та операцій з металобрухтом».</w:t>
            </w:r>
          </w:p>
        </w:tc>
        <w:tc>
          <w:tcPr>
            <w:tcW w:w="1418" w:type="dxa"/>
          </w:tcPr>
          <w:p w:rsidR="00CD2DF7" w:rsidRPr="009B3B49" w:rsidRDefault="00622A42" w:rsidP="000D1E8A">
            <w:pPr>
              <w:jc w:val="both"/>
              <w:rPr>
                <w:sz w:val="24"/>
                <w:szCs w:val="24"/>
              </w:rPr>
            </w:pPr>
            <w:r>
              <w:rPr>
                <w:sz w:val="24"/>
                <w:szCs w:val="24"/>
              </w:rPr>
              <w:lastRenderedPageBreak/>
              <w:t>Лютий</w:t>
            </w:r>
          </w:p>
        </w:tc>
        <w:tc>
          <w:tcPr>
            <w:tcW w:w="4110" w:type="dxa"/>
          </w:tcPr>
          <w:p w:rsidR="00CD2DF7" w:rsidRPr="009B3B49" w:rsidRDefault="00CD2DF7" w:rsidP="000D1E8A">
            <w:pPr>
              <w:jc w:val="both"/>
              <w:rPr>
                <w:sz w:val="24"/>
                <w:szCs w:val="24"/>
              </w:rPr>
            </w:pPr>
            <w:r w:rsidRPr="009B3B49">
              <w:rPr>
                <w:iCs/>
                <w:sz w:val="24"/>
                <w:szCs w:val="24"/>
              </w:rPr>
              <w:t xml:space="preserve">Створення переліку технічних засобів телекомунікацій, споруд електрозв’язку або їх частин, іншого </w:t>
            </w:r>
            <w:r w:rsidRPr="009B3B49">
              <w:rPr>
                <w:iCs/>
                <w:sz w:val="24"/>
                <w:szCs w:val="24"/>
              </w:rPr>
              <w:lastRenderedPageBreak/>
              <w:t>телекомунікаційного обладнання, які можуть здаватися на брухт виключно від суб’єктів господарювання, що використовують зазначене майно під час провадження своєї господарської діяльності.</w:t>
            </w:r>
          </w:p>
        </w:tc>
        <w:tc>
          <w:tcPr>
            <w:tcW w:w="3119" w:type="dxa"/>
          </w:tcPr>
          <w:p w:rsidR="00CD2DF7" w:rsidRPr="009B3B49" w:rsidRDefault="00CD2DF7" w:rsidP="000D1E8A">
            <w:pPr>
              <w:jc w:val="both"/>
              <w:rPr>
                <w:sz w:val="24"/>
                <w:szCs w:val="24"/>
              </w:rPr>
            </w:pPr>
            <w:r w:rsidRPr="009B3B49">
              <w:rPr>
                <w:sz w:val="24"/>
                <w:szCs w:val="24"/>
              </w:rPr>
              <w:lastRenderedPageBreak/>
              <w:t>Депа</w:t>
            </w:r>
            <w:r w:rsidR="00D30B51" w:rsidRPr="009B3B49">
              <w:rPr>
                <w:sz w:val="24"/>
                <w:szCs w:val="24"/>
              </w:rPr>
              <w:t>ртамент з питань промисловості</w:t>
            </w:r>
          </w:p>
        </w:tc>
      </w:tr>
      <w:tr w:rsidR="00622A42" w:rsidRPr="009B3B49" w:rsidTr="007B35ED">
        <w:trPr>
          <w:trHeight w:val="487"/>
        </w:trPr>
        <w:tc>
          <w:tcPr>
            <w:tcW w:w="568" w:type="dxa"/>
          </w:tcPr>
          <w:p w:rsidR="00622A42" w:rsidRDefault="007457B5" w:rsidP="00815B96">
            <w:pPr>
              <w:jc w:val="both"/>
              <w:rPr>
                <w:sz w:val="24"/>
                <w:szCs w:val="24"/>
              </w:rPr>
            </w:pPr>
            <w:r>
              <w:rPr>
                <w:sz w:val="24"/>
                <w:szCs w:val="24"/>
              </w:rPr>
              <w:t>8</w:t>
            </w:r>
          </w:p>
        </w:tc>
        <w:tc>
          <w:tcPr>
            <w:tcW w:w="2552" w:type="dxa"/>
          </w:tcPr>
          <w:p w:rsidR="00622A42" w:rsidRPr="00622A42" w:rsidRDefault="00622A42" w:rsidP="00F908D8">
            <w:pPr>
              <w:jc w:val="both"/>
              <w:rPr>
                <w:iCs/>
                <w:sz w:val="24"/>
                <w:szCs w:val="24"/>
              </w:rPr>
            </w:pPr>
            <w:r w:rsidRPr="00622A42">
              <w:rPr>
                <w:sz w:val="24"/>
                <w:szCs w:val="24"/>
              </w:rPr>
              <w:t>Про</w:t>
            </w:r>
            <w:r w:rsidR="00F908D8">
              <w:rPr>
                <w:sz w:val="24"/>
                <w:szCs w:val="24"/>
              </w:rPr>
              <w:t>є</w:t>
            </w:r>
            <w:r w:rsidRPr="00622A42">
              <w:rPr>
                <w:sz w:val="24"/>
                <w:szCs w:val="24"/>
              </w:rPr>
              <w:t>кт розпорядження Кабінету Міністрів України «Про затвердження Державної цільової оборонної програми з реалізації в інтересах сектору безпеки і оборони України про</w:t>
            </w:r>
            <w:r w:rsidR="00F908D8">
              <w:rPr>
                <w:sz w:val="24"/>
                <w:szCs w:val="24"/>
              </w:rPr>
              <w:t>є</w:t>
            </w:r>
            <w:r w:rsidRPr="00622A42">
              <w:rPr>
                <w:sz w:val="24"/>
                <w:szCs w:val="24"/>
              </w:rPr>
              <w:t>ктів з виконання наукових досліджень і розробок, розробок нових технологій на період до 2024 року»</w:t>
            </w:r>
          </w:p>
        </w:tc>
        <w:tc>
          <w:tcPr>
            <w:tcW w:w="2835" w:type="dxa"/>
          </w:tcPr>
          <w:p w:rsidR="00622A42" w:rsidRPr="00C02D65" w:rsidRDefault="00C02D65" w:rsidP="000D1E8A">
            <w:pPr>
              <w:jc w:val="both"/>
              <w:rPr>
                <w:iCs/>
                <w:sz w:val="24"/>
                <w:szCs w:val="24"/>
              </w:rPr>
            </w:pPr>
            <w:r w:rsidRPr="00C02D65">
              <w:rPr>
                <w:iCs/>
                <w:sz w:val="24"/>
                <w:szCs w:val="24"/>
              </w:rPr>
              <w:t xml:space="preserve">На законодавчому рівні врегулювання питання </w:t>
            </w:r>
            <w:r w:rsidRPr="00C02D65">
              <w:rPr>
                <w:sz w:val="24"/>
                <w:szCs w:val="24"/>
              </w:rPr>
              <w:t>Створення та запровадження правових, організаційних та фінансових передумов для розвитку та ефективного функціонування системи фундаментальних прикладних науково-технічних розробок, підвищення їх конкурентоспроможності, а також розвитку наукової та інноваційної сфери в інтересах сектору безпеки і оборони України.</w:t>
            </w:r>
          </w:p>
        </w:tc>
        <w:tc>
          <w:tcPr>
            <w:tcW w:w="1418" w:type="dxa"/>
          </w:tcPr>
          <w:p w:rsidR="00622A42" w:rsidRDefault="00C02D65" w:rsidP="000D1E8A">
            <w:pPr>
              <w:jc w:val="both"/>
              <w:rPr>
                <w:sz w:val="24"/>
                <w:szCs w:val="24"/>
              </w:rPr>
            </w:pPr>
            <w:r>
              <w:rPr>
                <w:sz w:val="24"/>
                <w:szCs w:val="24"/>
              </w:rPr>
              <w:t>Вересень</w:t>
            </w:r>
          </w:p>
        </w:tc>
        <w:tc>
          <w:tcPr>
            <w:tcW w:w="4110" w:type="dxa"/>
          </w:tcPr>
          <w:p w:rsidR="00622A42" w:rsidRPr="00C02D65" w:rsidRDefault="00C02D65" w:rsidP="000D1E8A">
            <w:pPr>
              <w:jc w:val="both"/>
              <w:rPr>
                <w:iCs/>
                <w:sz w:val="24"/>
                <w:szCs w:val="24"/>
              </w:rPr>
            </w:pPr>
            <w:r w:rsidRPr="00C02D65">
              <w:rPr>
                <w:sz w:val="24"/>
                <w:szCs w:val="24"/>
              </w:rPr>
              <w:t>Створення та запровадження правових, організаційних та фінансових передумов для розвитку та ефективного функціонування системи фундаментальних прикладних науково-технічних розробок, підвищення їх конкурентоспроможності, а також розвитку наукової та інноваційної сфери в інтересах сектору безпеки і оборони України.</w:t>
            </w:r>
          </w:p>
        </w:tc>
        <w:tc>
          <w:tcPr>
            <w:tcW w:w="3119" w:type="dxa"/>
          </w:tcPr>
          <w:p w:rsidR="00622A42" w:rsidRPr="009B3B49" w:rsidRDefault="00C02D65" w:rsidP="000D1E8A">
            <w:pPr>
              <w:jc w:val="both"/>
              <w:rPr>
                <w:sz w:val="24"/>
                <w:szCs w:val="24"/>
              </w:rPr>
            </w:pPr>
            <w:r w:rsidRPr="009B3B49">
              <w:rPr>
                <w:sz w:val="24"/>
                <w:szCs w:val="24"/>
              </w:rPr>
              <w:t>Департамент стратегії реформування ОПК</w:t>
            </w:r>
          </w:p>
        </w:tc>
      </w:tr>
      <w:tr w:rsidR="0021105A" w:rsidRPr="009B3B49" w:rsidTr="007B35ED">
        <w:trPr>
          <w:trHeight w:val="487"/>
        </w:trPr>
        <w:tc>
          <w:tcPr>
            <w:tcW w:w="568" w:type="dxa"/>
          </w:tcPr>
          <w:p w:rsidR="0021105A" w:rsidRDefault="0021105A" w:rsidP="0021105A">
            <w:pPr>
              <w:jc w:val="both"/>
              <w:rPr>
                <w:sz w:val="24"/>
                <w:szCs w:val="24"/>
              </w:rPr>
            </w:pPr>
            <w:r>
              <w:rPr>
                <w:sz w:val="24"/>
                <w:szCs w:val="24"/>
              </w:rPr>
              <w:t>9</w:t>
            </w:r>
          </w:p>
        </w:tc>
        <w:tc>
          <w:tcPr>
            <w:tcW w:w="2552" w:type="dxa"/>
          </w:tcPr>
          <w:p w:rsidR="0021105A" w:rsidRPr="00AF757A" w:rsidRDefault="0021105A" w:rsidP="0021105A">
            <w:pPr>
              <w:jc w:val="both"/>
              <w:rPr>
                <w:sz w:val="24"/>
                <w:szCs w:val="24"/>
              </w:rPr>
            </w:pPr>
            <w:r>
              <w:rPr>
                <w:sz w:val="24"/>
                <w:szCs w:val="24"/>
              </w:rPr>
              <w:t>Проєкт Закону «П</w:t>
            </w:r>
            <w:r w:rsidRPr="00AF757A">
              <w:rPr>
                <w:sz w:val="24"/>
                <w:szCs w:val="24"/>
              </w:rPr>
              <w:t>ро робототе</w:t>
            </w:r>
            <w:r>
              <w:rPr>
                <w:sz w:val="24"/>
                <w:szCs w:val="24"/>
              </w:rPr>
              <w:t xml:space="preserve">хніку </w:t>
            </w:r>
            <w:r>
              <w:rPr>
                <w:sz w:val="24"/>
                <w:szCs w:val="24"/>
              </w:rPr>
              <w:br/>
            </w:r>
            <w:r>
              <w:rPr>
                <w:sz w:val="24"/>
                <w:szCs w:val="24"/>
              </w:rPr>
              <w:lastRenderedPageBreak/>
              <w:t>та роботизацію в Україні»</w:t>
            </w:r>
          </w:p>
          <w:p w:rsidR="0021105A" w:rsidRPr="009B3B49" w:rsidRDefault="0021105A" w:rsidP="0021105A">
            <w:pPr>
              <w:jc w:val="both"/>
              <w:rPr>
                <w:iCs/>
                <w:sz w:val="24"/>
                <w:szCs w:val="24"/>
              </w:rPr>
            </w:pPr>
          </w:p>
        </w:tc>
        <w:tc>
          <w:tcPr>
            <w:tcW w:w="2835" w:type="dxa"/>
          </w:tcPr>
          <w:p w:rsidR="0021105A" w:rsidRPr="0021105A" w:rsidRDefault="0021105A" w:rsidP="0021105A">
            <w:pPr>
              <w:jc w:val="both"/>
              <w:rPr>
                <w:iCs/>
                <w:sz w:val="24"/>
                <w:szCs w:val="24"/>
              </w:rPr>
            </w:pPr>
            <w:r w:rsidRPr="0021105A">
              <w:rPr>
                <w:iCs/>
                <w:sz w:val="24"/>
                <w:szCs w:val="24"/>
              </w:rPr>
              <w:lastRenderedPageBreak/>
              <w:t xml:space="preserve">На законодавчому рівні врегулювати питання правових, економічних </w:t>
            </w:r>
            <w:r w:rsidRPr="0021105A">
              <w:rPr>
                <w:iCs/>
                <w:sz w:val="24"/>
                <w:szCs w:val="24"/>
              </w:rPr>
              <w:lastRenderedPageBreak/>
              <w:t>та організаційних засад і принципів державного регулювання у сфері робототехніки та роботизації  в Україні, визначення прав, обов’язків і відповідальності учасників правовідносин, що виникають у  зазначеній сфері, визначення  уповноваженого  центрального органу виконавчої влади до компетенції якого віднесено врегулювання питань у сфері робототехніки та роботизації.</w:t>
            </w:r>
          </w:p>
        </w:tc>
        <w:tc>
          <w:tcPr>
            <w:tcW w:w="1418" w:type="dxa"/>
          </w:tcPr>
          <w:p w:rsidR="0021105A" w:rsidRPr="0021105A" w:rsidRDefault="0021105A" w:rsidP="0021105A">
            <w:pPr>
              <w:jc w:val="both"/>
              <w:rPr>
                <w:sz w:val="24"/>
                <w:szCs w:val="24"/>
              </w:rPr>
            </w:pPr>
            <w:r w:rsidRPr="0021105A">
              <w:rPr>
                <w:sz w:val="24"/>
                <w:szCs w:val="24"/>
              </w:rPr>
              <w:lastRenderedPageBreak/>
              <w:t>Квітень</w:t>
            </w:r>
          </w:p>
        </w:tc>
        <w:tc>
          <w:tcPr>
            <w:tcW w:w="4110" w:type="dxa"/>
          </w:tcPr>
          <w:p w:rsidR="0021105A" w:rsidRPr="0021105A" w:rsidRDefault="0021105A" w:rsidP="0021105A">
            <w:pPr>
              <w:pStyle w:val="a3"/>
              <w:tabs>
                <w:tab w:val="left" w:pos="262"/>
              </w:tabs>
              <w:spacing w:after="0" w:line="240" w:lineRule="auto"/>
              <w:ind w:left="39" w:firstLine="0"/>
              <w:rPr>
                <w:szCs w:val="24"/>
              </w:rPr>
            </w:pPr>
            <w:r w:rsidRPr="0021105A">
              <w:rPr>
                <w:szCs w:val="24"/>
              </w:rPr>
              <w:t xml:space="preserve">Встановлення правових, економічних та організаційних засад і принципів державного регулювання у сфері </w:t>
            </w:r>
            <w:r w:rsidRPr="0021105A">
              <w:rPr>
                <w:szCs w:val="24"/>
              </w:rPr>
              <w:lastRenderedPageBreak/>
              <w:t>робототехніки та роботизації  в Україні, визначення прав, обов’язків і відповідальності учасників правовідносин, що виникають у  зазначеній сфері, визначення  уповноваженого  центрального органу виконавчої влади до компетенції якого віднесено врегулювання питань у сфері робототехніки та роботизації. Напрям робототехніки у світі висококапіталізований, знаходиться на старті розвитку та має позитивний вплив на економіку країн. Сьогодні особливу увагу робототехніці приділяють такі економічно успішні країни, як США, КНР, ФРН, Японія. Законодавче врегулювання впровадження робототехніки та роботизації в Україні сприятиме технічному переоснащенню виробництва; залученню зовнішнього фінансування; збільшенню обсягів виробництва та експорту продукції з середнім та високим рівнем переробки та доданої вартості, збереження існуючих та створення нових робочих місць, збільшення рентабельності активів державних підприємств</w:t>
            </w:r>
          </w:p>
          <w:p w:rsidR="0021105A" w:rsidRPr="0021105A" w:rsidRDefault="0021105A" w:rsidP="0021105A">
            <w:pPr>
              <w:jc w:val="both"/>
              <w:rPr>
                <w:iCs/>
                <w:sz w:val="24"/>
                <w:szCs w:val="24"/>
              </w:rPr>
            </w:pPr>
            <w:r w:rsidRPr="0021105A">
              <w:rPr>
                <w:szCs w:val="24"/>
              </w:rPr>
              <w:t xml:space="preserve"> </w:t>
            </w:r>
          </w:p>
        </w:tc>
        <w:tc>
          <w:tcPr>
            <w:tcW w:w="3119" w:type="dxa"/>
          </w:tcPr>
          <w:p w:rsidR="0021105A" w:rsidRPr="009B3B49" w:rsidRDefault="0021105A" w:rsidP="0021105A">
            <w:pPr>
              <w:jc w:val="both"/>
              <w:rPr>
                <w:sz w:val="24"/>
                <w:szCs w:val="24"/>
              </w:rPr>
            </w:pPr>
            <w:r w:rsidRPr="009B3B49">
              <w:rPr>
                <w:sz w:val="24"/>
                <w:szCs w:val="24"/>
              </w:rPr>
              <w:lastRenderedPageBreak/>
              <w:t xml:space="preserve">Управління інвестиційної політики, міжнародної </w:t>
            </w:r>
            <w:r w:rsidRPr="009B3B49">
              <w:rPr>
                <w:sz w:val="24"/>
                <w:szCs w:val="24"/>
              </w:rPr>
              <w:lastRenderedPageBreak/>
              <w:t>технічної допомоги та виставкової діяльності</w:t>
            </w:r>
          </w:p>
        </w:tc>
      </w:tr>
      <w:tr w:rsidR="00622A42" w:rsidRPr="009B3B49" w:rsidTr="007B35ED">
        <w:trPr>
          <w:trHeight w:val="487"/>
        </w:trPr>
        <w:tc>
          <w:tcPr>
            <w:tcW w:w="568" w:type="dxa"/>
          </w:tcPr>
          <w:p w:rsidR="00622A42" w:rsidRDefault="00DF3B9D" w:rsidP="007457B5">
            <w:pPr>
              <w:jc w:val="both"/>
              <w:rPr>
                <w:sz w:val="24"/>
                <w:szCs w:val="24"/>
              </w:rPr>
            </w:pPr>
            <w:r>
              <w:rPr>
                <w:sz w:val="24"/>
                <w:szCs w:val="24"/>
              </w:rPr>
              <w:lastRenderedPageBreak/>
              <w:t>1</w:t>
            </w:r>
            <w:r w:rsidR="007457B5">
              <w:rPr>
                <w:sz w:val="24"/>
                <w:szCs w:val="24"/>
              </w:rPr>
              <w:t>0</w:t>
            </w:r>
          </w:p>
        </w:tc>
        <w:tc>
          <w:tcPr>
            <w:tcW w:w="2552" w:type="dxa"/>
          </w:tcPr>
          <w:p w:rsidR="00622A42" w:rsidRPr="00E775AC" w:rsidRDefault="00DF3B9D" w:rsidP="00E775AC">
            <w:pPr>
              <w:jc w:val="both"/>
              <w:rPr>
                <w:iCs/>
                <w:sz w:val="24"/>
                <w:szCs w:val="24"/>
              </w:rPr>
            </w:pPr>
            <w:r w:rsidRPr="00E775AC">
              <w:rPr>
                <w:sz w:val="24"/>
                <w:szCs w:val="24"/>
              </w:rPr>
              <w:t xml:space="preserve">Проєкт розпорядження Кабінету Міністрів </w:t>
            </w:r>
            <w:r w:rsidRPr="00E775AC">
              <w:rPr>
                <w:sz w:val="24"/>
                <w:szCs w:val="24"/>
              </w:rPr>
              <w:lastRenderedPageBreak/>
              <w:t xml:space="preserve">України «Про </w:t>
            </w:r>
            <w:r w:rsidRPr="00E775AC">
              <w:rPr>
                <w:sz w:val="24"/>
                <w:szCs w:val="24"/>
                <w:lang w:val="en-US"/>
              </w:rPr>
              <w:t>c</w:t>
            </w:r>
            <w:r w:rsidRPr="00E775AC">
              <w:rPr>
                <w:sz w:val="24"/>
                <w:szCs w:val="24"/>
              </w:rPr>
              <w:t xml:space="preserve">хвалення Концепції державної цільової економічної програми розвитку титанової галузі України </w:t>
            </w:r>
            <w:r w:rsidRPr="00E775AC">
              <w:rPr>
                <w:sz w:val="24"/>
                <w:szCs w:val="24"/>
                <w:lang w:eastAsia="ru-RU"/>
              </w:rPr>
              <w:t>на 2023-2027 роки</w:t>
            </w:r>
            <w:r w:rsidR="00E775AC" w:rsidRPr="00E775AC">
              <w:rPr>
                <w:sz w:val="24"/>
                <w:szCs w:val="24"/>
                <w:lang w:eastAsia="ru-RU"/>
              </w:rPr>
              <w:t>»</w:t>
            </w:r>
          </w:p>
        </w:tc>
        <w:tc>
          <w:tcPr>
            <w:tcW w:w="2835" w:type="dxa"/>
          </w:tcPr>
          <w:p w:rsidR="00622A42" w:rsidRPr="00E775AC" w:rsidRDefault="00E775AC" w:rsidP="000D1E8A">
            <w:pPr>
              <w:jc w:val="both"/>
              <w:rPr>
                <w:iCs/>
                <w:sz w:val="24"/>
                <w:szCs w:val="24"/>
              </w:rPr>
            </w:pPr>
            <w:r w:rsidRPr="00E775AC">
              <w:rPr>
                <w:sz w:val="24"/>
                <w:szCs w:val="24"/>
                <w:lang w:eastAsia="ru-RU"/>
              </w:rPr>
              <w:lastRenderedPageBreak/>
              <w:t xml:space="preserve">Проєктом акта передбачається визначення проблем, на </w:t>
            </w:r>
            <w:r w:rsidRPr="00E775AC">
              <w:rPr>
                <w:sz w:val="24"/>
                <w:szCs w:val="24"/>
                <w:lang w:eastAsia="ru-RU"/>
              </w:rPr>
              <w:lastRenderedPageBreak/>
              <w:t xml:space="preserve">розв'язання яких спрямована програма та оптимального варіанта розв’язання проблем для  забезпечення  розвитку титанової галузі з урахуванням захисту національних інтересів в економічній сфері та підвищення рівня національної безпеки, обороноздатності держави, а також необхідність створення в Україні повного циклу переробки титану. </w:t>
            </w:r>
            <w:r w:rsidRPr="00E775AC">
              <w:rPr>
                <w:b/>
                <w:sz w:val="24"/>
                <w:szCs w:val="24"/>
              </w:rPr>
              <w:t xml:space="preserve"> </w:t>
            </w:r>
          </w:p>
        </w:tc>
        <w:tc>
          <w:tcPr>
            <w:tcW w:w="1418" w:type="dxa"/>
          </w:tcPr>
          <w:p w:rsidR="00622A42" w:rsidRDefault="00E775AC" w:rsidP="000D1E8A">
            <w:pPr>
              <w:jc w:val="both"/>
              <w:rPr>
                <w:sz w:val="24"/>
                <w:szCs w:val="24"/>
              </w:rPr>
            </w:pPr>
            <w:r>
              <w:rPr>
                <w:sz w:val="24"/>
                <w:szCs w:val="24"/>
              </w:rPr>
              <w:lastRenderedPageBreak/>
              <w:t>Грудень</w:t>
            </w:r>
          </w:p>
        </w:tc>
        <w:tc>
          <w:tcPr>
            <w:tcW w:w="4110" w:type="dxa"/>
          </w:tcPr>
          <w:p w:rsidR="00622A42" w:rsidRPr="009B3B49" w:rsidRDefault="00E775AC" w:rsidP="000D1E8A">
            <w:pPr>
              <w:jc w:val="both"/>
              <w:rPr>
                <w:iCs/>
                <w:sz w:val="24"/>
                <w:szCs w:val="24"/>
              </w:rPr>
            </w:pPr>
            <w:r w:rsidRPr="00E775AC">
              <w:rPr>
                <w:iCs/>
                <w:sz w:val="24"/>
                <w:szCs w:val="24"/>
              </w:rPr>
              <w:t xml:space="preserve">Схвалення Концепції Державної цільової економічної програми розвитку титанової галузі України на </w:t>
            </w:r>
            <w:r w:rsidRPr="00E775AC">
              <w:rPr>
                <w:iCs/>
                <w:sz w:val="24"/>
                <w:szCs w:val="24"/>
              </w:rPr>
              <w:lastRenderedPageBreak/>
              <w:t>2023-2027 роки сприятиме створенню умов задля забезпечення розвитку вітчизняної титанової галузі, зокрема щодо створення в Україні повного циклу переробки титану з урахуванням захисту національних інтересів в економічній сфері та підвищенню рівня національної безпеки й обороноздатності держави.</w:t>
            </w:r>
          </w:p>
        </w:tc>
        <w:tc>
          <w:tcPr>
            <w:tcW w:w="3119" w:type="dxa"/>
          </w:tcPr>
          <w:p w:rsidR="00622A42" w:rsidRPr="009B3B49" w:rsidRDefault="00BB36B5" w:rsidP="000D1E8A">
            <w:pPr>
              <w:jc w:val="both"/>
              <w:rPr>
                <w:sz w:val="24"/>
                <w:szCs w:val="24"/>
              </w:rPr>
            </w:pPr>
            <w:r>
              <w:rPr>
                <w:sz w:val="24"/>
                <w:szCs w:val="24"/>
              </w:rPr>
              <w:lastRenderedPageBreak/>
              <w:t>Департамент з питань промисловості</w:t>
            </w:r>
          </w:p>
        </w:tc>
      </w:tr>
      <w:tr w:rsidR="00BB36B5" w:rsidRPr="009B3B49" w:rsidTr="007B35ED">
        <w:trPr>
          <w:trHeight w:val="487"/>
        </w:trPr>
        <w:tc>
          <w:tcPr>
            <w:tcW w:w="568" w:type="dxa"/>
          </w:tcPr>
          <w:p w:rsidR="00BB36B5" w:rsidRDefault="00BB36B5" w:rsidP="007457B5">
            <w:pPr>
              <w:jc w:val="both"/>
              <w:rPr>
                <w:sz w:val="24"/>
                <w:szCs w:val="24"/>
              </w:rPr>
            </w:pPr>
            <w:r>
              <w:rPr>
                <w:sz w:val="24"/>
                <w:szCs w:val="24"/>
              </w:rPr>
              <w:t>1</w:t>
            </w:r>
            <w:r w:rsidR="007457B5">
              <w:rPr>
                <w:sz w:val="24"/>
                <w:szCs w:val="24"/>
              </w:rPr>
              <w:t>1</w:t>
            </w:r>
          </w:p>
        </w:tc>
        <w:tc>
          <w:tcPr>
            <w:tcW w:w="2552" w:type="dxa"/>
          </w:tcPr>
          <w:p w:rsidR="00BB36B5" w:rsidRPr="00BB36B5" w:rsidRDefault="00BB36B5" w:rsidP="0037385E">
            <w:pPr>
              <w:jc w:val="both"/>
              <w:rPr>
                <w:sz w:val="24"/>
                <w:szCs w:val="24"/>
              </w:rPr>
            </w:pPr>
            <w:r w:rsidRPr="00BB36B5">
              <w:rPr>
                <w:sz w:val="24"/>
                <w:szCs w:val="24"/>
              </w:rPr>
              <w:t xml:space="preserve">Проєкт постанови Кабінету Міністрів України </w:t>
            </w:r>
            <w:r w:rsidR="0037385E">
              <w:rPr>
                <w:sz w:val="24"/>
                <w:szCs w:val="24"/>
              </w:rPr>
              <w:t>«Про</w:t>
            </w:r>
            <w:r w:rsidRPr="00BB36B5">
              <w:rPr>
                <w:sz w:val="24"/>
                <w:szCs w:val="24"/>
              </w:rPr>
              <w:t xml:space="preserve"> затвердження критеріїв, за якими оцінюється ступінь</w:t>
            </w:r>
            <w:r w:rsidRPr="00BB36B5">
              <w:rPr>
                <w:sz w:val="24"/>
                <w:szCs w:val="24"/>
              </w:rPr>
              <w:br/>
              <w:t xml:space="preserve">ризику від провадження господарської діяльності у сфері заготівлі металобрухту та операції з металобрухтом та визначається періодичність проведення планових </w:t>
            </w:r>
            <w:r w:rsidRPr="00BB36B5">
              <w:rPr>
                <w:sz w:val="24"/>
                <w:szCs w:val="24"/>
              </w:rPr>
              <w:lastRenderedPageBreak/>
              <w:t>заходів державного нагляду (контролю)</w:t>
            </w:r>
            <w:r w:rsidR="0037385E">
              <w:rPr>
                <w:sz w:val="24"/>
                <w:szCs w:val="24"/>
              </w:rPr>
              <w:t>»</w:t>
            </w:r>
          </w:p>
        </w:tc>
        <w:tc>
          <w:tcPr>
            <w:tcW w:w="2835" w:type="dxa"/>
          </w:tcPr>
          <w:p w:rsidR="00BB36B5" w:rsidRPr="00BB36B5" w:rsidRDefault="00BB36B5" w:rsidP="00BB36B5">
            <w:pPr>
              <w:shd w:val="clear" w:color="auto" w:fill="FFFFFF"/>
              <w:jc w:val="both"/>
              <w:textAlignment w:val="baseline"/>
              <w:rPr>
                <w:rFonts w:eastAsia="Times New Roman"/>
                <w:color w:val="000000"/>
                <w:sz w:val="24"/>
                <w:szCs w:val="24"/>
                <w:lang w:eastAsia="uk-UA"/>
              </w:rPr>
            </w:pPr>
            <w:r w:rsidRPr="00BB36B5">
              <w:rPr>
                <w:rFonts w:eastAsia="Times New Roman"/>
                <w:color w:val="000000"/>
                <w:sz w:val="24"/>
                <w:szCs w:val="24"/>
                <w:bdr w:val="none" w:sz="0" w:space="0" w:color="auto" w:frame="1"/>
                <w:lang w:eastAsia="uk-UA"/>
              </w:rPr>
              <w:lastRenderedPageBreak/>
              <w:t xml:space="preserve">Прийняття проєкту постанови дозволить організувати здійснення державного нагляду (контролю) на належному рівні, врегулювати кількість та періодичність здійснення планових заходів (контролю) та коло суб’єктів господарювання, які належать до високого, середнього та незначного ступенів ризику; забезпечить однозначність та прозорість у відносинах </w:t>
            </w:r>
            <w:r w:rsidRPr="00BB36B5">
              <w:rPr>
                <w:rFonts w:eastAsia="Times New Roman"/>
                <w:color w:val="000000"/>
                <w:sz w:val="24"/>
                <w:szCs w:val="24"/>
                <w:bdr w:val="none" w:sz="0" w:space="0" w:color="auto" w:frame="1"/>
                <w:lang w:eastAsia="uk-UA"/>
              </w:rPr>
              <w:lastRenderedPageBreak/>
              <w:t xml:space="preserve">між суб'єктами господарювання і органом державного нагляду (контролю) – місцевими державними адміністраціями. </w:t>
            </w:r>
          </w:p>
        </w:tc>
        <w:tc>
          <w:tcPr>
            <w:tcW w:w="1418" w:type="dxa"/>
          </w:tcPr>
          <w:p w:rsidR="00BB36B5" w:rsidRPr="00BB36B5" w:rsidRDefault="00BB36B5" w:rsidP="00BB36B5">
            <w:pPr>
              <w:rPr>
                <w:sz w:val="24"/>
                <w:szCs w:val="24"/>
              </w:rPr>
            </w:pPr>
            <w:r>
              <w:rPr>
                <w:sz w:val="24"/>
                <w:szCs w:val="24"/>
              </w:rPr>
              <w:lastRenderedPageBreak/>
              <w:t>Г</w:t>
            </w:r>
            <w:r w:rsidRPr="00BB36B5">
              <w:rPr>
                <w:sz w:val="24"/>
                <w:szCs w:val="24"/>
              </w:rPr>
              <w:t>рудень</w:t>
            </w:r>
          </w:p>
        </w:tc>
        <w:tc>
          <w:tcPr>
            <w:tcW w:w="4110" w:type="dxa"/>
          </w:tcPr>
          <w:p w:rsidR="00BB36B5" w:rsidRPr="00BB36B5" w:rsidRDefault="00BB36B5" w:rsidP="00BB36B5">
            <w:pPr>
              <w:jc w:val="both"/>
              <w:rPr>
                <w:sz w:val="24"/>
                <w:szCs w:val="24"/>
              </w:rPr>
            </w:pPr>
            <w:r w:rsidRPr="00BB36B5">
              <w:rPr>
                <w:sz w:val="24"/>
                <w:szCs w:val="24"/>
              </w:rPr>
              <w:t xml:space="preserve">Затвердження критеріїв, за якими оцінюватиметься ступінь ризику від провадження господарської діяльності у сфері заготівлі металобрухту та операції з металобрухтом та визначатиметься періодичність проведення планових заходів державного нагляду (контролю), що сприятиме </w:t>
            </w:r>
          </w:p>
          <w:p w:rsidR="00BB36B5" w:rsidRPr="00BB36B5" w:rsidRDefault="00BB36B5" w:rsidP="00BB36B5">
            <w:pPr>
              <w:jc w:val="both"/>
              <w:rPr>
                <w:sz w:val="24"/>
                <w:szCs w:val="24"/>
              </w:rPr>
            </w:pPr>
            <w:r w:rsidRPr="00BB36B5">
              <w:rPr>
                <w:rFonts w:eastAsia="Times New Roman"/>
                <w:color w:val="000000"/>
                <w:sz w:val="24"/>
                <w:szCs w:val="24"/>
                <w:bdr w:val="none" w:sz="0" w:space="0" w:color="auto" w:frame="1"/>
                <w:lang w:eastAsia="uk-UA"/>
              </w:rPr>
              <w:t xml:space="preserve">запобіганню порушення законодавства у сфері </w:t>
            </w:r>
            <w:r w:rsidRPr="00BB36B5">
              <w:rPr>
                <w:sz w:val="24"/>
                <w:szCs w:val="24"/>
              </w:rPr>
              <w:t>заготівлі металобрухту та операції з металобрухтом</w:t>
            </w:r>
            <w:r w:rsidRPr="00BB36B5">
              <w:rPr>
                <w:rFonts w:eastAsia="Times New Roman"/>
                <w:color w:val="000000"/>
                <w:sz w:val="24"/>
                <w:szCs w:val="24"/>
                <w:bdr w:val="none" w:sz="0" w:space="0" w:color="auto" w:frame="1"/>
                <w:lang w:eastAsia="uk-UA"/>
              </w:rPr>
              <w:t>, своєчасності виявлення таких порушень і вжиття відповідних заходів реагування щодо їх усунення.</w:t>
            </w:r>
          </w:p>
          <w:p w:rsidR="00BB36B5" w:rsidRPr="00BB36B5" w:rsidRDefault="00BB36B5" w:rsidP="00BB36B5">
            <w:pPr>
              <w:jc w:val="both"/>
              <w:rPr>
                <w:sz w:val="24"/>
                <w:szCs w:val="24"/>
              </w:rPr>
            </w:pPr>
          </w:p>
        </w:tc>
        <w:tc>
          <w:tcPr>
            <w:tcW w:w="3119" w:type="dxa"/>
          </w:tcPr>
          <w:p w:rsidR="00BB36B5" w:rsidRPr="00BB36B5" w:rsidRDefault="00BB36B5" w:rsidP="00BB36B5">
            <w:pPr>
              <w:jc w:val="both"/>
              <w:rPr>
                <w:sz w:val="24"/>
                <w:szCs w:val="24"/>
              </w:rPr>
            </w:pPr>
            <w:r w:rsidRPr="00BB36B5">
              <w:rPr>
                <w:sz w:val="24"/>
                <w:szCs w:val="24"/>
              </w:rPr>
              <w:t>Департамент з питань промисловості</w:t>
            </w:r>
          </w:p>
        </w:tc>
      </w:tr>
      <w:tr w:rsidR="00944A79" w:rsidRPr="009B3B49" w:rsidTr="007B35ED">
        <w:trPr>
          <w:trHeight w:val="487"/>
        </w:trPr>
        <w:tc>
          <w:tcPr>
            <w:tcW w:w="568" w:type="dxa"/>
          </w:tcPr>
          <w:p w:rsidR="00944A79" w:rsidRDefault="00944A79" w:rsidP="007457B5">
            <w:pPr>
              <w:jc w:val="both"/>
              <w:rPr>
                <w:sz w:val="24"/>
                <w:szCs w:val="24"/>
              </w:rPr>
            </w:pPr>
            <w:r>
              <w:rPr>
                <w:sz w:val="24"/>
                <w:szCs w:val="24"/>
              </w:rPr>
              <w:t>1</w:t>
            </w:r>
            <w:r w:rsidR="007457B5">
              <w:rPr>
                <w:sz w:val="24"/>
                <w:szCs w:val="24"/>
              </w:rPr>
              <w:t>2</w:t>
            </w:r>
          </w:p>
        </w:tc>
        <w:tc>
          <w:tcPr>
            <w:tcW w:w="2552" w:type="dxa"/>
          </w:tcPr>
          <w:p w:rsidR="00944A79" w:rsidRPr="00944A79" w:rsidRDefault="00944A79" w:rsidP="0037385E">
            <w:pPr>
              <w:jc w:val="both"/>
              <w:rPr>
                <w:sz w:val="24"/>
                <w:szCs w:val="24"/>
              </w:rPr>
            </w:pPr>
            <w:r w:rsidRPr="00944A79">
              <w:rPr>
                <w:sz w:val="24"/>
                <w:szCs w:val="24"/>
              </w:rPr>
              <w:t>Проєкт Закону України «Про внесення зміни до статті 2</w:t>
            </w:r>
            <w:r w:rsidRPr="00944A79">
              <w:rPr>
                <w:sz w:val="24"/>
                <w:szCs w:val="24"/>
                <w:vertAlign w:val="superscript"/>
              </w:rPr>
              <w:t>1</w:t>
            </w:r>
            <w:r w:rsidRPr="00944A79">
              <w:rPr>
                <w:sz w:val="24"/>
                <w:szCs w:val="24"/>
              </w:rPr>
              <w:t xml:space="preserve"> Закону України «Про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w:t>
            </w:r>
          </w:p>
        </w:tc>
        <w:tc>
          <w:tcPr>
            <w:tcW w:w="2835" w:type="dxa"/>
          </w:tcPr>
          <w:p w:rsidR="00944A79" w:rsidRPr="00BB36B5" w:rsidRDefault="000A43AF" w:rsidP="00BB36B5">
            <w:pPr>
              <w:shd w:val="clear" w:color="auto" w:fill="FFFFFF"/>
              <w:jc w:val="both"/>
              <w:textAlignment w:val="baseline"/>
              <w:rPr>
                <w:rFonts w:eastAsia="Times New Roman"/>
                <w:color w:val="000000"/>
                <w:sz w:val="24"/>
                <w:szCs w:val="24"/>
                <w:bdr w:val="none" w:sz="0" w:space="0" w:color="auto" w:frame="1"/>
                <w:lang w:eastAsia="uk-UA"/>
              </w:rPr>
            </w:pPr>
            <w:r>
              <w:rPr>
                <w:rFonts w:eastAsia="Times New Roman"/>
                <w:color w:val="000000"/>
                <w:sz w:val="24"/>
                <w:szCs w:val="24"/>
                <w:bdr w:val="none" w:sz="0" w:space="0" w:color="auto" w:frame="1"/>
                <w:lang w:eastAsia="uk-UA"/>
              </w:rPr>
              <w:t xml:space="preserve">На законодавчому рівні забезпечити стале </w:t>
            </w:r>
            <w:r w:rsidRPr="007E0962">
              <w:rPr>
                <w:bCs/>
                <w:sz w:val="24"/>
                <w:szCs w:val="24"/>
              </w:rPr>
              <w:t xml:space="preserve">функціонування підприємств оборонно-промислового комплексу, </w:t>
            </w:r>
            <w:r w:rsidRPr="007E0962">
              <w:rPr>
                <w:color w:val="000000"/>
                <w:sz w:val="24"/>
                <w:szCs w:val="24"/>
                <w:lang w:eastAsia="uk-UA"/>
              </w:rPr>
              <w:t xml:space="preserve">що мають стратегічне значення для економіки і безпеки держави, захист їх інтересів у відносинах з юридичними особами держави-агресора та/або держави-окупанта або юридичними особами з іноземними інвестиціями чи іноземними підприємствами держави-агресора та/або держави-окупанта, уникнення зловживань з боку зазначених юридичних осіб у разі зміни кінцевого бенефіціарного власника (контролера), акціонера або учасника, який є власником контрольного пакета акцій або часток у </w:t>
            </w:r>
            <w:r w:rsidRPr="007E0962">
              <w:rPr>
                <w:color w:val="000000"/>
                <w:sz w:val="24"/>
                <w:szCs w:val="24"/>
                <w:lang w:eastAsia="uk-UA"/>
              </w:rPr>
              <w:lastRenderedPageBreak/>
              <w:t>статутному капіталі зазначених юридичних осіб.</w:t>
            </w:r>
          </w:p>
        </w:tc>
        <w:tc>
          <w:tcPr>
            <w:tcW w:w="1418" w:type="dxa"/>
          </w:tcPr>
          <w:p w:rsidR="00944A79" w:rsidRDefault="001B1177" w:rsidP="00BB36B5">
            <w:pPr>
              <w:rPr>
                <w:sz w:val="24"/>
                <w:szCs w:val="24"/>
              </w:rPr>
            </w:pPr>
            <w:r>
              <w:rPr>
                <w:sz w:val="24"/>
                <w:szCs w:val="24"/>
              </w:rPr>
              <w:lastRenderedPageBreak/>
              <w:t xml:space="preserve">Вересень </w:t>
            </w:r>
          </w:p>
        </w:tc>
        <w:tc>
          <w:tcPr>
            <w:tcW w:w="4110" w:type="dxa"/>
          </w:tcPr>
          <w:p w:rsidR="00944A79" w:rsidRPr="007E0962" w:rsidRDefault="00F1590E" w:rsidP="007E0962">
            <w:pPr>
              <w:jc w:val="both"/>
              <w:rPr>
                <w:sz w:val="24"/>
                <w:szCs w:val="24"/>
              </w:rPr>
            </w:pPr>
            <w:r w:rsidRPr="007E0962">
              <w:rPr>
                <w:bCs/>
                <w:sz w:val="24"/>
                <w:szCs w:val="24"/>
              </w:rPr>
              <w:t xml:space="preserve">Забезпечення сталого функціонування підприємств оборонно-промислового комплексу, </w:t>
            </w:r>
            <w:r w:rsidRPr="007E0962">
              <w:rPr>
                <w:color w:val="000000"/>
                <w:sz w:val="24"/>
                <w:szCs w:val="24"/>
                <w:lang w:eastAsia="uk-UA"/>
              </w:rPr>
              <w:t>що мають стратегічне значення для економіки і безпеки держави</w:t>
            </w:r>
            <w:r w:rsidR="007E0962" w:rsidRPr="007E0962">
              <w:rPr>
                <w:color w:val="000000"/>
                <w:sz w:val="24"/>
                <w:szCs w:val="24"/>
                <w:lang w:eastAsia="uk-UA"/>
              </w:rPr>
              <w:t xml:space="preserve">, </w:t>
            </w:r>
            <w:r w:rsidRPr="007E0962">
              <w:rPr>
                <w:color w:val="000000"/>
                <w:sz w:val="24"/>
                <w:szCs w:val="24"/>
                <w:lang w:eastAsia="uk-UA"/>
              </w:rPr>
              <w:t>захист їх інтересів у відносинах з юридичними особами держави-агресора та/або держави-окупанта або юридичними особами з іноземними інвестиціями чи іноземними підприємствами держави-агресора та/або держави-окупанта, уникнення зловживань з боку зазначених юридичних осіб у разі зміни кінцевого бенефіціарного власника (контролера), акціонера або учасника, який є власником контрольного пакета акцій або часток у статутному капіталі зазначених юридичних осіб.</w:t>
            </w:r>
          </w:p>
        </w:tc>
        <w:tc>
          <w:tcPr>
            <w:tcW w:w="3119" w:type="dxa"/>
          </w:tcPr>
          <w:p w:rsidR="00944A79" w:rsidRPr="00BB36B5" w:rsidRDefault="001B1177" w:rsidP="00BB36B5">
            <w:pPr>
              <w:jc w:val="both"/>
              <w:rPr>
                <w:sz w:val="24"/>
                <w:szCs w:val="24"/>
              </w:rPr>
            </w:pPr>
            <w:r w:rsidRPr="009B3B49">
              <w:rPr>
                <w:sz w:val="24"/>
                <w:szCs w:val="24"/>
              </w:rPr>
              <w:t>Департамент стратегії реформування ОПК</w:t>
            </w:r>
          </w:p>
        </w:tc>
      </w:tr>
      <w:tr w:rsidR="007851B7" w:rsidRPr="009B3B49" w:rsidTr="007851B7">
        <w:trPr>
          <w:trHeight w:val="487"/>
        </w:trPr>
        <w:tc>
          <w:tcPr>
            <w:tcW w:w="568" w:type="dxa"/>
          </w:tcPr>
          <w:p w:rsidR="007851B7" w:rsidRPr="006D1637" w:rsidRDefault="007851B7" w:rsidP="007851B7">
            <w:pPr>
              <w:jc w:val="center"/>
              <w:rPr>
                <w:sz w:val="24"/>
                <w:szCs w:val="24"/>
              </w:rPr>
            </w:pPr>
            <w:r w:rsidRPr="006D1637">
              <w:rPr>
                <w:sz w:val="24"/>
                <w:szCs w:val="24"/>
              </w:rPr>
              <w:t>13</w:t>
            </w:r>
          </w:p>
        </w:tc>
        <w:tc>
          <w:tcPr>
            <w:tcW w:w="2552" w:type="dxa"/>
          </w:tcPr>
          <w:p w:rsidR="003B19C1" w:rsidRDefault="007851B7" w:rsidP="007851B7">
            <w:pPr>
              <w:rPr>
                <w:bCs/>
                <w:sz w:val="24"/>
                <w:szCs w:val="24"/>
              </w:rPr>
            </w:pPr>
            <w:r w:rsidRPr="006D1637">
              <w:rPr>
                <w:bCs/>
                <w:sz w:val="24"/>
                <w:szCs w:val="24"/>
              </w:rPr>
              <w:t>Проєкт</w:t>
            </w:r>
            <w:r w:rsidR="003B19C1">
              <w:rPr>
                <w:bCs/>
                <w:sz w:val="24"/>
                <w:szCs w:val="24"/>
              </w:rPr>
              <w:t xml:space="preserve"> Закону</w:t>
            </w:r>
          </w:p>
          <w:p w:rsidR="007851B7" w:rsidRPr="006D1637" w:rsidRDefault="003B19C1" w:rsidP="007851B7">
            <w:pPr>
              <w:rPr>
                <w:sz w:val="24"/>
                <w:szCs w:val="24"/>
              </w:rPr>
            </w:pPr>
            <w:r>
              <w:rPr>
                <w:bCs/>
                <w:sz w:val="24"/>
                <w:szCs w:val="24"/>
              </w:rPr>
              <w:t xml:space="preserve"> «</w:t>
            </w:r>
            <w:r w:rsidR="007851B7" w:rsidRPr="006D1637">
              <w:rPr>
                <w:bCs/>
                <w:sz w:val="24"/>
                <w:szCs w:val="24"/>
              </w:rPr>
              <w:t>Про розроблення та виробництво озброєння, в</w:t>
            </w:r>
            <w:r>
              <w:rPr>
                <w:bCs/>
                <w:sz w:val="24"/>
                <w:szCs w:val="24"/>
              </w:rPr>
              <w:t>ійськової і спеціальної техніки»</w:t>
            </w:r>
          </w:p>
        </w:tc>
        <w:tc>
          <w:tcPr>
            <w:tcW w:w="2835" w:type="dxa"/>
          </w:tcPr>
          <w:p w:rsidR="007851B7" w:rsidRPr="006D1637" w:rsidRDefault="007851B7" w:rsidP="007851B7">
            <w:pPr>
              <w:jc w:val="both"/>
              <w:rPr>
                <w:bCs/>
                <w:sz w:val="24"/>
                <w:szCs w:val="24"/>
              </w:rPr>
            </w:pPr>
            <w:r w:rsidRPr="006D1637">
              <w:rPr>
                <w:bCs/>
                <w:sz w:val="24"/>
                <w:szCs w:val="24"/>
              </w:rPr>
              <w:t>Необхідність законодавчого унормування особливостей діяльності у сфері розроблення та виробництва озброєння, військової і спеціальної техніки</w:t>
            </w:r>
          </w:p>
        </w:tc>
        <w:tc>
          <w:tcPr>
            <w:tcW w:w="1418" w:type="dxa"/>
          </w:tcPr>
          <w:p w:rsidR="007851B7" w:rsidRPr="006D1637" w:rsidRDefault="007851B7" w:rsidP="007851B7">
            <w:pPr>
              <w:jc w:val="center"/>
              <w:rPr>
                <w:sz w:val="24"/>
                <w:szCs w:val="24"/>
              </w:rPr>
            </w:pPr>
            <w:r>
              <w:rPr>
                <w:sz w:val="24"/>
                <w:szCs w:val="24"/>
              </w:rPr>
              <w:t>Грудень</w:t>
            </w:r>
          </w:p>
        </w:tc>
        <w:tc>
          <w:tcPr>
            <w:tcW w:w="4110" w:type="dxa"/>
          </w:tcPr>
          <w:p w:rsidR="007851B7" w:rsidRPr="006D1637" w:rsidRDefault="007851B7" w:rsidP="007851B7">
            <w:pPr>
              <w:jc w:val="both"/>
              <w:rPr>
                <w:sz w:val="24"/>
                <w:szCs w:val="24"/>
              </w:rPr>
            </w:pPr>
            <w:r>
              <w:rPr>
                <w:color w:val="000000" w:themeColor="text1"/>
                <w:sz w:val="24"/>
                <w:szCs w:val="24"/>
                <w:bdr w:val="none" w:sz="0" w:space="0" w:color="auto" w:frame="1"/>
                <w:shd w:val="clear" w:color="auto" w:fill="FFFFFF"/>
              </w:rPr>
              <w:t>З</w:t>
            </w:r>
            <w:r w:rsidRPr="006D1637">
              <w:rPr>
                <w:color w:val="000000" w:themeColor="text1"/>
                <w:sz w:val="24"/>
                <w:szCs w:val="24"/>
                <w:bdr w:val="none" w:sz="0" w:space="0" w:color="auto" w:frame="1"/>
                <w:shd w:val="clear" w:color="auto" w:fill="FFFFFF"/>
              </w:rPr>
              <w:t>абезпеч</w:t>
            </w:r>
            <w:r>
              <w:rPr>
                <w:color w:val="000000" w:themeColor="text1"/>
                <w:sz w:val="24"/>
                <w:szCs w:val="24"/>
                <w:bdr w:val="none" w:sz="0" w:space="0" w:color="auto" w:frame="1"/>
                <w:shd w:val="clear" w:color="auto" w:fill="FFFFFF"/>
              </w:rPr>
              <w:t>ення</w:t>
            </w:r>
            <w:r w:rsidRPr="006D1637">
              <w:rPr>
                <w:color w:val="000000" w:themeColor="text1"/>
                <w:sz w:val="24"/>
                <w:szCs w:val="24"/>
                <w:bdr w:val="none" w:sz="0" w:space="0" w:color="auto" w:frame="1"/>
                <w:shd w:val="clear" w:color="auto" w:fill="FFFFFF"/>
              </w:rPr>
              <w:t xml:space="preserve"> створення національної системи розроблення та поставлення на виробництво військової те</w:t>
            </w:r>
            <w:r>
              <w:rPr>
                <w:color w:val="000000" w:themeColor="text1"/>
                <w:sz w:val="24"/>
                <w:szCs w:val="24"/>
                <w:bdr w:val="none" w:sz="0" w:space="0" w:color="auto" w:frame="1"/>
                <w:shd w:val="clear" w:color="auto" w:fill="FFFFFF"/>
              </w:rPr>
              <w:t>хніки;</w:t>
            </w:r>
            <w:r w:rsidRPr="006D1637">
              <w:rPr>
                <w:color w:val="000000" w:themeColor="text1"/>
                <w:sz w:val="24"/>
                <w:szCs w:val="24"/>
                <w:bdr w:val="none" w:sz="0" w:space="0" w:color="auto" w:frame="1"/>
                <w:shd w:val="clear" w:color="auto" w:fill="FFFFFF"/>
              </w:rPr>
              <w:t xml:space="preserve"> </w:t>
            </w:r>
            <w:r w:rsidRPr="006D1637">
              <w:rPr>
                <w:color w:val="000000" w:themeColor="text1"/>
                <w:sz w:val="24"/>
                <w:szCs w:val="24"/>
                <w:bdr w:val="none" w:sz="0" w:space="0" w:color="auto" w:frame="1"/>
                <w:shd w:val="clear" w:color="auto" w:fill="FFFFFF"/>
              </w:rPr>
              <w:br/>
              <w:t>прийнятт</w:t>
            </w:r>
            <w:r>
              <w:rPr>
                <w:color w:val="000000" w:themeColor="text1"/>
                <w:sz w:val="24"/>
                <w:szCs w:val="24"/>
                <w:bdr w:val="none" w:sz="0" w:space="0" w:color="auto" w:frame="1"/>
                <w:shd w:val="clear" w:color="auto" w:fill="FFFFFF"/>
              </w:rPr>
              <w:t>я</w:t>
            </w:r>
            <w:r w:rsidRPr="006D1637">
              <w:rPr>
                <w:color w:val="000000" w:themeColor="text1"/>
                <w:sz w:val="24"/>
                <w:szCs w:val="24"/>
                <w:bdr w:val="none" w:sz="0" w:space="0" w:color="auto" w:frame="1"/>
                <w:shd w:val="clear" w:color="auto" w:fill="FFFFFF"/>
              </w:rPr>
              <w:t xml:space="preserve"> оптимальних технічних рішень, мінімізаці</w:t>
            </w:r>
            <w:r>
              <w:rPr>
                <w:color w:val="000000" w:themeColor="text1"/>
                <w:sz w:val="24"/>
                <w:szCs w:val="24"/>
                <w:bdr w:val="none" w:sz="0" w:space="0" w:color="auto" w:frame="1"/>
                <w:shd w:val="clear" w:color="auto" w:fill="FFFFFF"/>
              </w:rPr>
              <w:t>я</w:t>
            </w:r>
            <w:r w:rsidRPr="006D1637">
              <w:rPr>
                <w:color w:val="000000" w:themeColor="text1"/>
                <w:sz w:val="24"/>
                <w:szCs w:val="24"/>
                <w:bdr w:val="none" w:sz="0" w:space="0" w:color="auto" w:frame="1"/>
                <w:shd w:val="clear" w:color="auto" w:fill="FFFFFF"/>
              </w:rPr>
              <w:t xml:space="preserve"> витрат державного бюджету</w:t>
            </w:r>
            <w:r>
              <w:rPr>
                <w:color w:val="000000" w:themeColor="text1"/>
                <w:sz w:val="24"/>
                <w:szCs w:val="24"/>
                <w:bdr w:val="none" w:sz="0" w:space="0" w:color="auto" w:frame="1"/>
                <w:shd w:val="clear" w:color="auto" w:fill="FFFFFF"/>
              </w:rPr>
              <w:t>;</w:t>
            </w:r>
            <w:r w:rsidRPr="006D1637">
              <w:rPr>
                <w:color w:val="000000" w:themeColor="text1"/>
                <w:sz w:val="24"/>
                <w:szCs w:val="24"/>
                <w:bdr w:val="none" w:sz="0" w:space="0" w:color="auto" w:frame="1"/>
                <w:shd w:val="clear" w:color="auto" w:fill="FFFFFF"/>
              </w:rPr>
              <w:t xml:space="preserve"> зменшенн</w:t>
            </w:r>
            <w:r>
              <w:rPr>
                <w:color w:val="000000" w:themeColor="text1"/>
                <w:sz w:val="24"/>
                <w:szCs w:val="24"/>
                <w:bdr w:val="none" w:sz="0" w:space="0" w:color="auto" w:frame="1"/>
                <w:shd w:val="clear" w:color="auto" w:fill="FFFFFF"/>
              </w:rPr>
              <w:t>я</w:t>
            </w:r>
            <w:r w:rsidRPr="006D1637">
              <w:rPr>
                <w:color w:val="000000" w:themeColor="text1"/>
                <w:sz w:val="24"/>
                <w:szCs w:val="24"/>
                <w:bdr w:val="none" w:sz="0" w:space="0" w:color="auto" w:frame="1"/>
                <w:shd w:val="clear" w:color="auto" w:fill="FFFFFF"/>
              </w:rPr>
              <w:t xml:space="preserve"> строків її створення та взяття на озброєння</w:t>
            </w:r>
          </w:p>
        </w:tc>
        <w:tc>
          <w:tcPr>
            <w:tcW w:w="3119" w:type="dxa"/>
          </w:tcPr>
          <w:p w:rsidR="007851B7" w:rsidRPr="006D1637" w:rsidRDefault="007851B7" w:rsidP="007851B7">
            <w:pPr>
              <w:jc w:val="center"/>
              <w:rPr>
                <w:sz w:val="24"/>
                <w:szCs w:val="24"/>
              </w:rPr>
            </w:pPr>
            <w:r>
              <w:rPr>
                <w:sz w:val="24"/>
                <w:szCs w:val="24"/>
              </w:rPr>
              <w:t>Департамент військово-промислової політики</w:t>
            </w:r>
          </w:p>
        </w:tc>
      </w:tr>
    </w:tbl>
    <w:p w:rsidR="00F63CA5" w:rsidRDefault="00F63CA5" w:rsidP="00F63CA5">
      <w:pPr>
        <w:spacing w:after="0"/>
        <w:ind w:left="-426"/>
        <w:jc w:val="both"/>
        <w:rPr>
          <w:sz w:val="24"/>
          <w:szCs w:val="24"/>
        </w:rPr>
      </w:pPr>
      <w:bookmarkStart w:id="0" w:name="n297"/>
      <w:bookmarkEnd w:id="0"/>
    </w:p>
    <w:p w:rsidR="00F63CA5" w:rsidRDefault="00F63CA5" w:rsidP="00F63CA5">
      <w:pPr>
        <w:spacing w:after="0"/>
        <w:ind w:left="-426"/>
        <w:jc w:val="both"/>
        <w:rPr>
          <w:sz w:val="24"/>
          <w:szCs w:val="24"/>
        </w:rPr>
      </w:pPr>
    </w:p>
    <w:p w:rsidR="007851B7" w:rsidRDefault="007851B7" w:rsidP="006001CE">
      <w:pPr>
        <w:spacing w:after="0"/>
        <w:ind w:left="-426"/>
        <w:jc w:val="both"/>
        <w:rPr>
          <w:b/>
          <w:shd w:val="clear" w:color="auto" w:fill="FFFFFF"/>
        </w:rPr>
      </w:pPr>
      <w:r>
        <w:rPr>
          <w:b/>
          <w:shd w:val="clear" w:color="auto" w:fill="FFFFFF"/>
        </w:rPr>
        <w:t>В.</w:t>
      </w:r>
      <w:r w:rsidR="003B19C1">
        <w:rPr>
          <w:b/>
          <w:shd w:val="clear" w:color="auto" w:fill="FFFFFF"/>
        </w:rPr>
        <w:t xml:space="preserve"> </w:t>
      </w:r>
      <w:bookmarkStart w:id="1" w:name="_GoBack"/>
      <w:bookmarkEnd w:id="1"/>
      <w:r>
        <w:rPr>
          <w:b/>
          <w:shd w:val="clear" w:color="auto" w:fill="FFFFFF"/>
        </w:rPr>
        <w:t xml:space="preserve">о. директора Юридичного департаменту </w:t>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t xml:space="preserve">       Віталій ПАВЛОВ</w:t>
      </w:r>
    </w:p>
    <w:p w:rsidR="00F63CA5" w:rsidRPr="00F63CA5" w:rsidRDefault="00F63CA5" w:rsidP="007851B7">
      <w:pPr>
        <w:spacing w:after="0"/>
        <w:ind w:left="-426"/>
        <w:jc w:val="both"/>
        <w:rPr>
          <w:b/>
        </w:rPr>
      </w:pPr>
    </w:p>
    <w:sectPr w:rsidR="00F63CA5" w:rsidRPr="00F63CA5" w:rsidSect="005958F5">
      <w:headerReference w:type="default" r:id="rId8"/>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F7" w:rsidRDefault="004D15F7" w:rsidP="00C61C58">
      <w:pPr>
        <w:spacing w:after="0" w:line="240" w:lineRule="auto"/>
      </w:pPr>
      <w:r>
        <w:separator/>
      </w:r>
    </w:p>
  </w:endnote>
  <w:endnote w:type="continuationSeparator" w:id="0">
    <w:p w:rsidR="004D15F7" w:rsidRDefault="004D15F7" w:rsidP="00C6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F7" w:rsidRDefault="004D15F7" w:rsidP="00C61C58">
      <w:pPr>
        <w:spacing w:after="0" w:line="240" w:lineRule="auto"/>
      </w:pPr>
      <w:r>
        <w:separator/>
      </w:r>
    </w:p>
  </w:footnote>
  <w:footnote w:type="continuationSeparator" w:id="0">
    <w:p w:rsidR="004D15F7" w:rsidRDefault="004D15F7" w:rsidP="00C61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647769"/>
      <w:docPartObj>
        <w:docPartGallery w:val="Page Numbers (Top of Page)"/>
        <w:docPartUnique/>
      </w:docPartObj>
    </w:sdtPr>
    <w:sdtEndPr/>
    <w:sdtContent>
      <w:p w:rsidR="00CF1ACD" w:rsidRDefault="00CF1ACD">
        <w:pPr>
          <w:pStyle w:val="a8"/>
          <w:jc w:val="center"/>
        </w:pPr>
        <w:r>
          <w:fldChar w:fldCharType="begin"/>
        </w:r>
        <w:r>
          <w:instrText>PAGE   \* MERGEFORMAT</w:instrText>
        </w:r>
        <w:r>
          <w:fldChar w:fldCharType="separate"/>
        </w:r>
        <w:r w:rsidR="003B19C1">
          <w:rPr>
            <w:noProof/>
          </w:rPr>
          <w:t>7</w:t>
        </w:r>
        <w:r>
          <w:fldChar w:fldCharType="end"/>
        </w:r>
      </w:p>
    </w:sdtContent>
  </w:sdt>
  <w:p w:rsidR="00CF1ACD" w:rsidRDefault="00CF1AC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0D50"/>
    <w:multiLevelType w:val="hybridMultilevel"/>
    <w:tmpl w:val="62ACE0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1960730"/>
    <w:multiLevelType w:val="hybridMultilevel"/>
    <w:tmpl w:val="A4BE8C20"/>
    <w:lvl w:ilvl="0" w:tplc="6D98F960">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D7"/>
    <w:rsid w:val="0000369D"/>
    <w:rsid w:val="000051F8"/>
    <w:rsid w:val="000062BA"/>
    <w:rsid w:val="00032B7A"/>
    <w:rsid w:val="0004607E"/>
    <w:rsid w:val="00072937"/>
    <w:rsid w:val="00076F30"/>
    <w:rsid w:val="000A43AF"/>
    <w:rsid w:val="000B6C5A"/>
    <w:rsid w:val="000D1E8A"/>
    <w:rsid w:val="00116837"/>
    <w:rsid w:val="00117F7E"/>
    <w:rsid w:val="00131163"/>
    <w:rsid w:val="001510B3"/>
    <w:rsid w:val="00161577"/>
    <w:rsid w:val="001B1177"/>
    <w:rsid w:val="001B28C2"/>
    <w:rsid w:val="001E481E"/>
    <w:rsid w:val="001F53CF"/>
    <w:rsid w:val="00207AE9"/>
    <w:rsid w:val="0021105A"/>
    <w:rsid w:val="00224F9A"/>
    <w:rsid w:val="00231909"/>
    <w:rsid w:val="00241D44"/>
    <w:rsid w:val="00260671"/>
    <w:rsid w:val="002773CC"/>
    <w:rsid w:val="002803A2"/>
    <w:rsid w:val="00284473"/>
    <w:rsid w:val="0028452F"/>
    <w:rsid w:val="00290220"/>
    <w:rsid w:val="00296DB9"/>
    <w:rsid w:val="002B258D"/>
    <w:rsid w:val="002C19F2"/>
    <w:rsid w:val="002C4B28"/>
    <w:rsid w:val="002D2565"/>
    <w:rsid w:val="002E0F49"/>
    <w:rsid w:val="003023EA"/>
    <w:rsid w:val="00331847"/>
    <w:rsid w:val="00357C11"/>
    <w:rsid w:val="00366421"/>
    <w:rsid w:val="0037385E"/>
    <w:rsid w:val="00396317"/>
    <w:rsid w:val="003A2C20"/>
    <w:rsid w:val="003B19C1"/>
    <w:rsid w:val="003B3AC2"/>
    <w:rsid w:val="003C20F3"/>
    <w:rsid w:val="003D0C00"/>
    <w:rsid w:val="00404039"/>
    <w:rsid w:val="00447BFF"/>
    <w:rsid w:val="00454AD4"/>
    <w:rsid w:val="00462D6D"/>
    <w:rsid w:val="00480BF3"/>
    <w:rsid w:val="004A56F2"/>
    <w:rsid w:val="004D15F7"/>
    <w:rsid w:val="004D57DE"/>
    <w:rsid w:val="004F0116"/>
    <w:rsid w:val="005074B9"/>
    <w:rsid w:val="0051159F"/>
    <w:rsid w:val="0051502E"/>
    <w:rsid w:val="0056686B"/>
    <w:rsid w:val="00584B4C"/>
    <w:rsid w:val="005941C3"/>
    <w:rsid w:val="00595798"/>
    <w:rsid w:val="005958F5"/>
    <w:rsid w:val="005A4344"/>
    <w:rsid w:val="005A4374"/>
    <w:rsid w:val="005D1AB4"/>
    <w:rsid w:val="005E07B3"/>
    <w:rsid w:val="005F4B5D"/>
    <w:rsid w:val="006001CE"/>
    <w:rsid w:val="0062161C"/>
    <w:rsid w:val="00622A42"/>
    <w:rsid w:val="006474AE"/>
    <w:rsid w:val="0067275A"/>
    <w:rsid w:val="00675F20"/>
    <w:rsid w:val="00681609"/>
    <w:rsid w:val="006847B6"/>
    <w:rsid w:val="006C0FD5"/>
    <w:rsid w:val="006D1AA0"/>
    <w:rsid w:val="006D252E"/>
    <w:rsid w:val="006D72EB"/>
    <w:rsid w:val="006F00B6"/>
    <w:rsid w:val="007154D7"/>
    <w:rsid w:val="00726068"/>
    <w:rsid w:val="00727AF3"/>
    <w:rsid w:val="007457B5"/>
    <w:rsid w:val="00745C59"/>
    <w:rsid w:val="00755F35"/>
    <w:rsid w:val="0078488D"/>
    <w:rsid w:val="007851B7"/>
    <w:rsid w:val="007A0777"/>
    <w:rsid w:val="007A4D3E"/>
    <w:rsid w:val="007B1CA0"/>
    <w:rsid w:val="007B35ED"/>
    <w:rsid w:val="007D13B7"/>
    <w:rsid w:val="007D7793"/>
    <w:rsid w:val="007D798A"/>
    <w:rsid w:val="007E0962"/>
    <w:rsid w:val="007F51D7"/>
    <w:rsid w:val="007F6756"/>
    <w:rsid w:val="0080199A"/>
    <w:rsid w:val="00812EB9"/>
    <w:rsid w:val="0081569B"/>
    <w:rsid w:val="00815B96"/>
    <w:rsid w:val="008211D7"/>
    <w:rsid w:val="00864218"/>
    <w:rsid w:val="00866CEE"/>
    <w:rsid w:val="00866DE5"/>
    <w:rsid w:val="00890E17"/>
    <w:rsid w:val="008928D1"/>
    <w:rsid w:val="008968A1"/>
    <w:rsid w:val="00896C74"/>
    <w:rsid w:val="008A1FD9"/>
    <w:rsid w:val="008C1E4F"/>
    <w:rsid w:val="008C4D2E"/>
    <w:rsid w:val="008D2B3A"/>
    <w:rsid w:val="008E132E"/>
    <w:rsid w:val="0093274C"/>
    <w:rsid w:val="0094300E"/>
    <w:rsid w:val="00944A79"/>
    <w:rsid w:val="00945372"/>
    <w:rsid w:val="00954927"/>
    <w:rsid w:val="009800F7"/>
    <w:rsid w:val="009A5E20"/>
    <w:rsid w:val="009B3B49"/>
    <w:rsid w:val="009C6DA8"/>
    <w:rsid w:val="009C707F"/>
    <w:rsid w:val="009D4651"/>
    <w:rsid w:val="009D5154"/>
    <w:rsid w:val="009E352D"/>
    <w:rsid w:val="009E5504"/>
    <w:rsid w:val="009F5420"/>
    <w:rsid w:val="00A05475"/>
    <w:rsid w:val="00A07A05"/>
    <w:rsid w:val="00A17418"/>
    <w:rsid w:val="00A229F0"/>
    <w:rsid w:val="00A3065D"/>
    <w:rsid w:val="00A3560E"/>
    <w:rsid w:val="00A434E2"/>
    <w:rsid w:val="00A81232"/>
    <w:rsid w:val="00AB6FFF"/>
    <w:rsid w:val="00AF1A9D"/>
    <w:rsid w:val="00B72E9E"/>
    <w:rsid w:val="00B9038F"/>
    <w:rsid w:val="00B917DC"/>
    <w:rsid w:val="00B9330C"/>
    <w:rsid w:val="00BA1924"/>
    <w:rsid w:val="00BB36B5"/>
    <w:rsid w:val="00BD69F9"/>
    <w:rsid w:val="00C01630"/>
    <w:rsid w:val="00C02D65"/>
    <w:rsid w:val="00C10ABA"/>
    <w:rsid w:val="00C12861"/>
    <w:rsid w:val="00C61C58"/>
    <w:rsid w:val="00C62C9B"/>
    <w:rsid w:val="00C7599C"/>
    <w:rsid w:val="00C91E96"/>
    <w:rsid w:val="00CC026B"/>
    <w:rsid w:val="00CD2883"/>
    <w:rsid w:val="00CD2DF7"/>
    <w:rsid w:val="00CD7AE7"/>
    <w:rsid w:val="00CF1ACD"/>
    <w:rsid w:val="00D30B51"/>
    <w:rsid w:val="00D52480"/>
    <w:rsid w:val="00D7741F"/>
    <w:rsid w:val="00D957EE"/>
    <w:rsid w:val="00DA5E0D"/>
    <w:rsid w:val="00DC0264"/>
    <w:rsid w:val="00DE5E90"/>
    <w:rsid w:val="00DF2BCD"/>
    <w:rsid w:val="00DF3B9D"/>
    <w:rsid w:val="00E16F6A"/>
    <w:rsid w:val="00E775AC"/>
    <w:rsid w:val="00E805FB"/>
    <w:rsid w:val="00E922B8"/>
    <w:rsid w:val="00E9507B"/>
    <w:rsid w:val="00EA360C"/>
    <w:rsid w:val="00EB06C9"/>
    <w:rsid w:val="00EE1BEC"/>
    <w:rsid w:val="00EF6A9D"/>
    <w:rsid w:val="00F05A10"/>
    <w:rsid w:val="00F1590E"/>
    <w:rsid w:val="00F21269"/>
    <w:rsid w:val="00F277F5"/>
    <w:rsid w:val="00F37FBA"/>
    <w:rsid w:val="00F54B0B"/>
    <w:rsid w:val="00F63CA5"/>
    <w:rsid w:val="00F7163A"/>
    <w:rsid w:val="00F730F0"/>
    <w:rsid w:val="00F75881"/>
    <w:rsid w:val="00F81252"/>
    <w:rsid w:val="00F8720E"/>
    <w:rsid w:val="00F908D8"/>
    <w:rsid w:val="00FA2B15"/>
    <w:rsid w:val="00FA5773"/>
    <w:rsid w:val="00FA6B92"/>
    <w:rsid w:val="00FB3644"/>
    <w:rsid w:val="00FE3514"/>
    <w:rsid w:val="00FE4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BBDC81"/>
  <w15:docId w15:val="{5188F6D5-FE3F-4209-8902-3F2AA7DD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3EA"/>
    <w:rPr>
      <w:lang w:val="uk-UA"/>
    </w:rPr>
  </w:style>
  <w:style w:type="paragraph" w:styleId="1">
    <w:name w:val="heading 1"/>
    <w:basedOn w:val="a"/>
    <w:next w:val="a"/>
    <w:link w:val="10"/>
    <w:uiPriority w:val="9"/>
    <w:qFormat/>
    <w:rsid w:val="009430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1D7"/>
    <w:pPr>
      <w:spacing w:after="160" w:line="259" w:lineRule="auto"/>
      <w:ind w:left="720" w:firstLine="709"/>
      <w:contextualSpacing/>
      <w:jc w:val="both"/>
    </w:pPr>
    <w:rPr>
      <w:rFonts w:cstheme="minorBidi"/>
      <w:sz w:val="24"/>
      <w:szCs w:val="22"/>
    </w:rPr>
  </w:style>
  <w:style w:type="character" w:styleId="a4">
    <w:name w:val="Hyperlink"/>
    <w:basedOn w:val="a0"/>
    <w:uiPriority w:val="99"/>
    <w:unhideWhenUsed/>
    <w:rsid w:val="007D798A"/>
    <w:rPr>
      <w:color w:val="0000FF" w:themeColor="hyperlink"/>
      <w:u w:val="single"/>
    </w:rPr>
  </w:style>
  <w:style w:type="paragraph" w:styleId="a5">
    <w:name w:val="Balloon Text"/>
    <w:basedOn w:val="a"/>
    <w:link w:val="a6"/>
    <w:uiPriority w:val="99"/>
    <w:semiHidden/>
    <w:unhideWhenUsed/>
    <w:rsid w:val="002C4B28"/>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C4B28"/>
    <w:rPr>
      <w:rFonts w:ascii="Segoe UI" w:hAnsi="Segoe UI" w:cs="Segoe UI"/>
      <w:sz w:val="18"/>
      <w:szCs w:val="18"/>
      <w:lang w:val="uk-UA"/>
    </w:rPr>
  </w:style>
  <w:style w:type="character" w:customStyle="1" w:styleId="rvts9">
    <w:name w:val="rvts9"/>
    <w:basedOn w:val="a0"/>
    <w:rsid w:val="00DF2BCD"/>
  </w:style>
  <w:style w:type="paragraph" w:styleId="a7">
    <w:name w:val="Revision"/>
    <w:hidden/>
    <w:uiPriority w:val="99"/>
    <w:semiHidden/>
    <w:rsid w:val="009C707F"/>
    <w:pPr>
      <w:spacing w:after="0" w:line="240" w:lineRule="auto"/>
    </w:pPr>
    <w:rPr>
      <w:lang w:val="uk-UA"/>
    </w:rPr>
  </w:style>
  <w:style w:type="character" w:customStyle="1" w:styleId="10">
    <w:name w:val="Заголовок 1 Знак"/>
    <w:basedOn w:val="a0"/>
    <w:link w:val="1"/>
    <w:uiPriority w:val="9"/>
    <w:rsid w:val="0094300E"/>
    <w:rPr>
      <w:rFonts w:asciiTheme="majorHAnsi" w:eastAsiaTheme="majorEastAsia" w:hAnsiTheme="majorHAnsi" w:cstheme="majorBidi"/>
      <w:color w:val="365F91" w:themeColor="accent1" w:themeShade="BF"/>
      <w:sz w:val="32"/>
      <w:szCs w:val="32"/>
      <w:lang w:val="uk-UA"/>
    </w:rPr>
  </w:style>
  <w:style w:type="paragraph" w:styleId="a8">
    <w:name w:val="header"/>
    <w:basedOn w:val="a"/>
    <w:link w:val="a9"/>
    <w:uiPriority w:val="99"/>
    <w:unhideWhenUsed/>
    <w:rsid w:val="00C61C58"/>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C61C58"/>
    <w:rPr>
      <w:lang w:val="uk-UA"/>
    </w:rPr>
  </w:style>
  <w:style w:type="paragraph" w:styleId="aa">
    <w:name w:val="footer"/>
    <w:basedOn w:val="a"/>
    <w:link w:val="ab"/>
    <w:uiPriority w:val="99"/>
    <w:unhideWhenUsed/>
    <w:rsid w:val="00C61C58"/>
    <w:pPr>
      <w:tabs>
        <w:tab w:val="center" w:pos="4819"/>
        <w:tab w:val="right" w:pos="9639"/>
      </w:tabs>
      <w:spacing w:after="0" w:line="240" w:lineRule="auto"/>
    </w:pPr>
  </w:style>
  <w:style w:type="character" w:customStyle="1" w:styleId="ab">
    <w:name w:val="Нижній колонтитул Знак"/>
    <w:basedOn w:val="a0"/>
    <w:link w:val="aa"/>
    <w:uiPriority w:val="99"/>
    <w:rsid w:val="00C61C58"/>
    <w:rPr>
      <w:lang w:val="uk-UA"/>
    </w:rPr>
  </w:style>
  <w:style w:type="table" w:styleId="ac">
    <w:name w:val="Table Grid"/>
    <w:basedOn w:val="a1"/>
    <w:uiPriority w:val="59"/>
    <w:rsid w:val="00A2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9F5420"/>
    <w:pPr>
      <w:spacing w:before="100" w:beforeAutospacing="1" w:after="100" w:afterAutospacing="1" w:line="240" w:lineRule="auto"/>
    </w:pPr>
    <w:rPr>
      <w:rFonts w:eastAsia="Times New Roman"/>
      <w:sz w:val="24"/>
      <w:szCs w:val="24"/>
      <w:lang w:eastAsia="uk-UA"/>
    </w:rPr>
  </w:style>
  <w:style w:type="paragraph" w:customStyle="1" w:styleId="rvps6">
    <w:name w:val="rvps6"/>
    <w:basedOn w:val="a"/>
    <w:rsid w:val="003C20F3"/>
    <w:pPr>
      <w:spacing w:before="100" w:beforeAutospacing="1" w:after="100" w:afterAutospacing="1" w:line="240" w:lineRule="auto"/>
    </w:pPr>
    <w:rPr>
      <w:rFonts w:eastAsia="Times New Roman"/>
      <w:sz w:val="24"/>
      <w:szCs w:val="24"/>
      <w:lang w:eastAsia="uk-UA"/>
    </w:rPr>
  </w:style>
  <w:style w:type="character" w:customStyle="1" w:styleId="rvts23">
    <w:name w:val="rvts23"/>
    <w:basedOn w:val="a0"/>
    <w:rsid w:val="003C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4694">
      <w:bodyDiv w:val="1"/>
      <w:marLeft w:val="0"/>
      <w:marRight w:val="0"/>
      <w:marTop w:val="0"/>
      <w:marBottom w:val="0"/>
      <w:divBdr>
        <w:top w:val="none" w:sz="0" w:space="0" w:color="auto"/>
        <w:left w:val="none" w:sz="0" w:space="0" w:color="auto"/>
        <w:bottom w:val="none" w:sz="0" w:space="0" w:color="auto"/>
        <w:right w:val="none" w:sz="0" w:space="0" w:color="auto"/>
      </w:divBdr>
    </w:div>
    <w:div w:id="165874303">
      <w:bodyDiv w:val="1"/>
      <w:marLeft w:val="0"/>
      <w:marRight w:val="0"/>
      <w:marTop w:val="0"/>
      <w:marBottom w:val="0"/>
      <w:divBdr>
        <w:top w:val="none" w:sz="0" w:space="0" w:color="auto"/>
        <w:left w:val="none" w:sz="0" w:space="0" w:color="auto"/>
        <w:bottom w:val="none" w:sz="0" w:space="0" w:color="auto"/>
        <w:right w:val="none" w:sz="0" w:space="0" w:color="auto"/>
      </w:divBdr>
    </w:div>
    <w:div w:id="287398722">
      <w:bodyDiv w:val="1"/>
      <w:marLeft w:val="0"/>
      <w:marRight w:val="0"/>
      <w:marTop w:val="0"/>
      <w:marBottom w:val="0"/>
      <w:divBdr>
        <w:top w:val="none" w:sz="0" w:space="0" w:color="auto"/>
        <w:left w:val="none" w:sz="0" w:space="0" w:color="auto"/>
        <w:bottom w:val="none" w:sz="0" w:space="0" w:color="auto"/>
        <w:right w:val="none" w:sz="0" w:space="0" w:color="auto"/>
      </w:divBdr>
    </w:div>
    <w:div w:id="459959627">
      <w:bodyDiv w:val="1"/>
      <w:marLeft w:val="0"/>
      <w:marRight w:val="0"/>
      <w:marTop w:val="0"/>
      <w:marBottom w:val="0"/>
      <w:divBdr>
        <w:top w:val="none" w:sz="0" w:space="0" w:color="auto"/>
        <w:left w:val="none" w:sz="0" w:space="0" w:color="auto"/>
        <w:bottom w:val="none" w:sz="0" w:space="0" w:color="auto"/>
        <w:right w:val="none" w:sz="0" w:space="0" w:color="auto"/>
      </w:divBdr>
    </w:div>
    <w:div w:id="671613345">
      <w:bodyDiv w:val="1"/>
      <w:marLeft w:val="0"/>
      <w:marRight w:val="0"/>
      <w:marTop w:val="0"/>
      <w:marBottom w:val="0"/>
      <w:divBdr>
        <w:top w:val="none" w:sz="0" w:space="0" w:color="auto"/>
        <w:left w:val="none" w:sz="0" w:space="0" w:color="auto"/>
        <w:bottom w:val="none" w:sz="0" w:space="0" w:color="auto"/>
        <w:right w:val="none" w:sz="0" w:space="0" w:color="auto"/>
      </w:divBdr>
    </w:div>
    <w:div w:id="1008364021">
      <w:bodyDiv w:val="1"/>
      <w:marLeft w:val="0"/>
      <w:marRight w:val="0"/>
      <w:marTop w:val="0"/>
      <w:marBottom w:val="0"/>
      <w:divBdr>
        <w:top w:val="none" w:sz="0" w:space="0" w:color="auto"/>
        <w:left w:val="none" w:sz="0" w:space="0" w:color="auto"/>
        <w:bottom w:val="none" w:sz="0" w:space="0" w:color="auto"/>
        <w:right w:val="none" w:sz="0" w:space="0" w:color="auto"/>
      </w:divBdr>
      <w:divsChild>
        <w:div w:id="2026442714">
          <w:marLeft w:val="0"/>
          <w:marRight w:val="0"/>
          <w:marTop w:val="0"/>
          <w:marBottom w:val="75"/>
          <w:divBdr>
            <w:top w:val="none" w:sz="0" w:space="0" w:color="auto"/>
            <w:left w:val="none" w:sz="0" w:space="0" w:color="auto"/>
            <w:bottom w:val="none" w:sz="0" w:space="0" w:color="auto"/>
            <w:right w:val="none" w:sz="0" w:space="0" w:color="auto"/>
          </w:divBdr>
        </w:div>
      </w:divsChild>
    </w:div>
    <w:div w:id="1196579569">
      <w:bodyDiv w:val="1"/>
      <w:marLeft w:val="0"/>
      <w:marRight w:val="0"/>
      <w:marTop w:val="0"/>
      <w:marBottom w:val="0"/>
      <w:divBdr>
        <w:top w:val="none" w:sz="0" w:space="0" w:color="auto"/>
        <w:left w:val="none" w:sz="0" w:space="0" w:color="auto"/>
        <w:bottom w:val="none" w:sz="0" w:space="0" w:color="auto"/>
        <w:right w:val="none" w:sz="0" w:space="0" w:color="auto"/>
      </w:divBdr>
      <w:divsChild>
        <w:div w:id="92820154">
          <w:marLeft w:val="0"/>
          <w:marRight w:val="0"/>
          <w:marTop w:val="0"/>
          <w:marBottom w:val="150"/>
          <w:divBdr>
            <w:top w:val="none" w:sz="0" w:space="0" w:color="auto"/>
            <w:left w:val="none" w:sz="0" w:space="0" w:color="auto"/>
            <w:bottom w:val="none" w:sz="0" w:space="0" w:color="auto"/>
            <w:right w:val="none" w:sz="0" w:space="0" w:color="auto"/>
          </w:divBdr>
        </w:div>
      </w:divsChild>
    </w:div>
    <w:div w:id="14673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082F2-635D-4B14-A4C2-8504C4AA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8019</Words>
  <Characters>4571</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Olesya</dc:creator>
  <cp:lastModifiedBy>Оксана Шевченко</cp:lastModifiedBy>
  <cp:revision>2</cp:revision>
  <cp:lastPrinted>2021-04-22T12:07:00Z</cp:lastPrinted>
  <dcterms:created xsi:type="dcterms:W3CDTF">2022-09-29T07:21:00Z</dcterms:created>
  <dcterms:modified xsi:type="dcterms:W3CDTF">2022-09-29T07:21:00Z</dcterms:modified>
</cp:coreProperties>
</file>